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1" w:before="40" w:after="283"/>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4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331"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1"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60" w:after="283"/>
        <w:ind w:left="0" w:right="0" w:hanging="450"/>
        <w:jc w:val="left"/>
        <w:rPr/>
      </w:pPr>
      <w:r>
        <w:rPr>
          <w:rFonts w:ascii="Wingdings;sans-serif" w:hAnsi="Wingdings;sans-serif"/>
          <w:b w:val="false"/>
          <w:color w:val="000000"/>
          <w:sz w:val="24"/>
        </w:rPr>
        <w:t>x</w:t>
      </w:r>
      <w:r>
        <w:rPr>
          <w:color w:val="000000"/>
        </w:rPr>
        <w:t>    </w:t>
      </w:r>
      <w:r>
        <w:rPr>
          <w:rFonts w:ascii="Times New Roman;serif" w:hAnsi="Times New Roman;serif"/>
          <w:b/>
          <w:color w:val="000000"/>
          <w:sz w:val="24"/>
        </w:rPr>
        <w:t xml:space="preserve">QUARTERLY REPORT PURSUANT TO SECTION 13 OR 15(d) OF THE SECURITIES EXCHANGE ACT OF 1934 </w:t>
      </w:r>
    </w:p>
    <w:p>
      <w:pPr>
        <w:pStyle w:val="TextBody"/>
        <w:bidi w:val="0"/>
        <w:spacing w:before="60" w:after="283"/>
        <w:ind w:left="0" w:right="0" w:hanging="450"/>
        <w:jc w:val="left"/>
        <w:rPr/>
      </w:pPr>
      <w:r>
        <w:rPr/>
      </w:r>
    </w:p>
    <w:p>
      <w:pPr>
        <w:pStyle w:val="TextBody"/>
        <w:bidi w:val="0"/>
        <w:spacing w:lineRule="auto" w:line="331" w:before="60" w:after="283"/>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JUNE 30, 2026 </w:t>
      </w:r>
    </w:p>
    <w:p>
      <w:pPr>
        <w:pStyle w:val="TextBody"/>
        <w:bidi w:val="0"/>
        <w:spacing w:lineRule="auto" w:line="331" w:before="6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60" w:after="283"/>
        <w:ind w:left="0" w:right="0" w:hanging="450"/>
        <w:jc w:val="left"/>
        <w:rPr/>
      </w:pPr>
      <w:r>
        <w:rPr>
          <w:color w:val="000000"/>
        </w:rPr>
        <w:t>☐    </w:t>
      </w:r>
      <w:r>
        <w:rPr>
          <w:rFonts w:ascii="Times New Roman;serif" w:hAnsi="Times New Roman;serif"/>
          <w:b/>
          <w:color w:val="000000"/>
          <w:sz w:val="24"/>
        </w:rPr>
        <w:t xml:space="preserve">TRANSITION REPORT PURSUANT TO SECTION 13 OR 15(d) OF THE SECURITIES EXCHANGE ACT OF 1934 </w:t>
      </w:r>
    </w:p>
    <w:p>
      <w:pPr>
        <w:pStyle w:val="TextBody"/>
        <w:bidi w:val="0"/>
        <w:spacing w:before="60" w:after="283"/>
        <w:ind w:left="0" w:right="0" w:hanging="450"/>
        <w:jc w:val="left"/>
        <w:rPr/>
      </w:pPr>
      <w:r>
        <w:rPr/>
      </w:r>
    </w:p>
    <w:p>
      <w:pPr>
        <w:pStyle w:val="TextBody"/>
        <w:bidi w:val="0"/>
        <w:spacing w:lineRule="auto" w:line="288" w:before="60" w:after="283"/>
        <w:ind w:left="0" w:right="0" w:hanging="450"/>
        <w:jc w:val="center"/>
        <w:rPr>
          <w:rFonts w:ascii="Times New Roman;serif" w:hAnsi="Times New Roman;serif"/>
          <w:b/>
          <w:color w:val="000000"/>
          <w:sz w:val="24"/>
        </w:rPr>
      </w:pPr>
      <w:r>
        <w:rPr>
          <w:rFonts w:ascii="Times New Roman;serif" w:hAnsi="Times New Roman;serif"/>
          <w:b/>
          <w:color w:val="000000"/>
          <w:sz w:val="24"/>
        </w:rPr>
        <w:t>FOR THE TRANSITION PERIOD FROM______TO______</w:t>
      </w:r>
    </w:p>
    <w:p>
      <w:pPr>
        <w:pStyle w:val="TextBody"/>
        <w:bidi w:val="0"/>
        <w:spacing w:before="60" w:after="283"/>
        <w:ind w:left="0" w:right="0" w:hanging="450"/>
        <w:jc w:val="center"/>
        <w:rPr/>
      </w:pPr>
      <w:r>
        <w:rPr/>
      </w:r>
    </w:p>
    <w:p>
      <w:pPr>
        <w:pStyle w:val="TextBody"/>
        <w:bidi w:val="0"/>
        <w:spacing w:lineRule="auto" w:line="331" w:before="60" w:after="283"/>
        <w:jc w:val="center"/>
        <w:rPr>
          <w:rFonts w:ascii="Times New Roman;serif" w:hAnsi="Times New Roman;serif"/>
          <w:b/>
          <w:color w:val="000000"/>
          <w:sz w:val="20"/>
        </w:rPr>
      </w:pPr>
      <w:r>
        <w:rPr>
          <w:rFonts w:ascii="Times New Roman;serif" w:hAnsi="Times New Roman;serif"/>
          <w:b/>
          <w:color w:val="000000"/>
          <w:sz w:val="20"/>
        </w:rPr>
        <w:t>COMMISSION FILE NUMBER: 000-56163</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331" w:before="60" w:after="283"/>
        <w:jc w:val="center"/>
        <w:rPr>
          <w:rFonts w:ascii="Times New Roman;serif" w:hAnsi="Times New Roman;serif"/>
          <w:b/>
          <w:color w:val="000000"/>
          <w:sz w:val="48"/>
        </w:rPr>
      </w:pPr>
      <w:r>
        <w:rPr>
          <w:rFonts w:ascii="Times New Roman;serif" w:hAnsi="Times New Roman;serif"/>
          <w:b/>
          <w:color w:val="000000"/>
          <w:sz w:val="48"/>
        </w:rPr>
        <w:t>FS Credit Real Estate Income Trust, Inc.</w:t>
      </w:r>
    </w:p>
    <w:p>
      <w:pPr>
        <w:pStyle w:val="TextBody"/>
        <w:bidi w:val="0"/>
        <w:spacing w:lineRule="auto" w:line="331" w:before="40" w:after="283"/>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w:t>
      </w:r>
    </w:p>
    <w:tbl>
      <w:tblPr>
        <w:tblW w:w="3419" w:type="dxa"/>
        <w:jc w:val="center"/>
        <w:tblInd w:w="0" w:type="dxa"/>
        <w:tblLayout w:type="fixed"/>
        <w:tblCellMar>
          <w:top w:w="28" w:type="dxa"/>
          <w:left w:w="28" w:type="dxa"/>
          <w:bottom w:w="28" w:type="dxa"/>
          <w:right w:w="28" w:type="dxa"/>
        </w:tblCellMar>
      </w:tblPr>
      <w:tblGrid>
        <w:gridCol w:w="752"/>
        <w:gridCol w:w="663"/>
        <w:gridCol w:w="669"/>
        <w:gridCol w:w="390"/>
        <w:gridCol w:w="390"/>
        <w:gridCol w:w="555"/>
      </w:tblGrid>
      <w:tr>
        <w:trPr/>
        <w:tc>
          <w:tcPr>
            <w:tcW w:w="7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81-4446064</w:t>
            </w:r>
          </w:p>
        </w:tc>
      </w:tr>
      <w:tr>
        <w:trPr/>
        <w:tc>
          <w:tcPr>
            <w:tcW w:w="2084"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 of</w:t>
              <w:br/>
              <w:t>incorporation or organization)</w:t>
            </w:r>
          </w:p>
        </w:tc>
        <w:tc>
          <w:tcPr>
            <w:tcW w:w="1335"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bl>
    <w:tbl>
      <w:tblPr>
        <w:tblW w:w="3614" w:type="dxa"/>
        <w:jc w:val="center"/>
        <w:tblInd w:w="0" w:type="dxa"/>
        <w:tblLayout w:type="fixed"/>
        <w:tblCellMar>
          <w:top w:w="28" w:type="dxa"/>
          <w:left w:w="28" w:type="dxa"/>
          <w:bottom w:w="28" w:type="dxa"/>
          <w:right w:w="28" w:type="dxa"/>
        </w:tblCellMar>
      </w:tblPr>
      <w:tblGrid>
        <w:gridCol w:w="999"/>
        <w:gridCol w:w="878"/>
        <w:gridCol w:w="883"/>
        <w:gridCol w:w="250"/>
        <w:gridCol w:w="250"/>
        <w:gridCol w:w="3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20"/>
              </w:rPr>
            </w:pPr>
            <w:r>
              <w:rPr>
                <w:rFonts w:ascii="Times New Roman;serif" w:hAnsi="Times New Roman;serif"/>
                <w:b/>
                <w:color w:val="000000"/>
                <w:sz w:val="20"/>
              </w:rPr>
              <w:t>3025 JFK Boulevard, OFC 500</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331" w:before="0" w:after="0"/>
              <w:jc w:val="center"/>
              <w:rPr>
                <w:rFonts w:ascii="Times New Roman;serif" w:hAnsi="Times New Roman;serif"/>
                <w:b/>
                <w:color w:val="000000"/>
                <w:sz w:val="20"/>
              </w:rPr>
            </w:pPr>
            <w:r>
              <w:rPr>
                <w:rFonts w:ascii="Times New Roman;serif" w:hAnsi="Times New Roman;serif"/>
                <w:b/>
                <w:color w:val="000000"/>
                <w:sz w:val="20"/>
              </w:rPr>
              <w:t>Philadelphia, Pennsylvania</w:t>
            </w:r>
          </w:p>
        </w:tc>
        <w:tc>
          <w:tcPr>
            <w:tcW w:w="854"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20"/>
              </w:rPr>
            </w:pPr>
            <w:r>
              <w:rPr>
                <w:rFonts w:ascii="Times New Roman;serif" w:hAnsi="Times New Roman;serif"/>
                <w:b/>
                <w:color w:val="000000"/>
                <w:sz w:val="20"/>
              </w:rPr>
              <w:t>19104</w:t>
            </w:r>
          </w:p>
        </w:tc>
      </w:tr>
      <w:tr>
        <w:trPr/>
        <w:tc>
          <w:tcPr>
            <w:tcW w:w="2760"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854"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331" w:before="120" w:after="283"/>
        <w:jc w:val="center"/>
        <w:rPr>
          <w:rFonts w:ascii="Times New Roman;serif" w:hAnsi="Times New Roman;serif"/>
          <w:b/>
          <w:color w:val="000000"/>
          <w:sz w:val="20"/>
        </w:rPr>
      </w:pPr>
      <w:r>
        <w:rPr>
          <w:rFonts w:ascii="Times New Roman;serif" w:hAnsi="Times New Roman;serif"/>
          <w:b/>
          <w:color w:val="000000"/>
          <w:sz w:val="20"/>
        </w:rPr>
        <w:t xml:space="preserve">(215) 495-1150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(Registrant's telephone number, including area code)</w:t>
      </w:r>
    </w:p>
    <w:p>
      <w:pPr>
        <w:pStyle w:val="TextBody"/>
        <w:bidi w:val="0"/>
        <w:spacing w:lineRule="auto" w:line="300"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 None.</w:t>
      </w:r>
    </w:p>
    <w:tbl>
      <w:tblPr>
        <w:tblW w:w="6493" w:type="dxa"/>
        <w:jc w:val="center"/>
        <w:tblInd w:w="0" w:type="dxa"/>
        <w:tblLayout w:type="fixed"/>
        <w:tblCellMar>
          <w:top w:w="28" w:type="dxa"/>
          <w:left w:w="28" w:type="dxa"/>
          <w:bottom w:w="28" w:type="dxa"/>
          <w:right w:w="28" w:type="dxa"/>
        </w:tblCellMar>
      </w:tblPr>
      <w:tblGrid>
        <w:gridCol w:w="526"/>
        <w:gridCol w:w="463"/>
        <w:gridCol w:w="466"/>
        <w:gridCol w:w="519"/>
        <w:gridCol w:w="519"/>
        <w:gridCol w:w="521"/>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120" w:after="12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2;sans-serif" w:hAnsi="Wingdings 2;sans-serif"/>
          <w:b w:val="false"/>
          <w:color w:val="000000"/>
          <w:sz w:val="24"/>
        </w:rPr>
        <w:t>T</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120" w:after="120"/>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2;sans-serif" w:hAnsi="Wingdings 2;sans-serif"/>
          <w:b w:val="false"/>
          <w:color w:val="000000"/>
          <w:sz w:val="24"/>
        </w:rPr>
        <w:t>T</w:t>
      </w:r>
      <w:r>
        <w:rPr>
          <w:color w:val="000000"/>
        </w:rPr>
        <w:t>    </w:t>
      </w:r>
      <w:r>
        <w:rPr>
          <w:rFonts w:ascii="Times New Roman;serif" w:hAnsi="Times New Roman;serif"/>
          <w:b w:val="false"/>
          <w:color w:val="000000"/>
          <w:sz w:val="20"/>
        </w:rPr>
        <w:t>No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4931" w:type="dxa"/>
        <w:jc w:val="center"/>
        <w:tblInd w:w="0" w:type="dxa"/>
        <w:tblLayout w:type="fixed"/>
        <w:tblCellMar>
          <w:top w:w="28" w:type="dxa"/>
          <w:left w:w="28" w:type="dxa"/>
          <w:bottom w:w="28" w:type="dxa"/>
          <w:right w:w="28" w:type="dxa"/>
        </w:tblCellMar>
      </w:tblPr>
      <w:tblGrid>
        <w:gridCol w:w="696"/>
        <w:gridCol w:w="612"/>
        <w:gridCol w:w="613"/>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4"/>
              </w:rPr>
            </w:pPr>
            <w:r>
              <w:rPr>
                <w:rFonts w:ascii="Wingdings 2;sans-serif" w:hAnsi="Wingdings 2;sans-serif"/>
                <w:b w:val="false"/>
                <w:color w:val="000000"/>
                <w:sz w:val="24"/>
              </w:rPr>
              <w:t>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120"/>
        <w:ind w:left="0" w:right="0" w:firstLine="49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 2;sans-serif" w:hAnsi="Wingdings 2;sans-serif"/>
          <w:b w:val="false"/>
          <w:color w:val="000000"/>
          <w:sz w:val="24"/>
        </w:rPr>
        <w:t>T</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August 7, 2026, there were 583,911 outstanding shares of Class F common stock, 843,658 outstanding shares of Class Y common stock, 640,824 outstanding shares of Class T common stock, 68,239,080 outstanding shares of Class S common stock, 351,208 outstanding shares of Class D common stock, 3,414,659 outstanding shares of Class M common stock and 52,868,616 outstanding shares of Class I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89"/>
        <w:gridCol w:w="483"/>
        <w:gridCol w:w="483"/>
        <w:gridCol w:w="2633"/>
        <w:gridCol w:w="2573"/>
        <w:gridCol w:w="2542"/>
        <w:gridCol w:w="109"/>
        <w:gridCol w:w="109"/>
        <w:gridCol w:w="109"/>
        <w:gridCol w:w="167"/>
        <w:gridCol w:w="167"/>
        <w:gridCol w:w="241"/>
      </w:tblGrid>
      <w:tr>
        <w:trPr/>
        <w:tc>
          <w:tcPr>
            <w:tcW w:w="58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0">
              <w:r>
                <w:rPr>
                  <w:rStyle w:val="InternetLink"/>
                  <w:rFonts w:ascii="Times New Roman;serif" w:hAnsi="Times New Roman;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6">
              <w:r>
                <w:rPr>
                  <w:rStyle w:val="InternetLink"/>
                  <w:rFonts w:ascii="Times New Roman;serif" w:hAnsi="Times New Roman;serif"/>
                  <w:b w:val="false"/>
                  <w:color w:val="000080"/>
                  <w:sz w:val="20"/>
                  <w:u w:val="single"/>
                </w:rPr>
                <w:t xml:space="preserve">Consolidated Balance Sheets as of </w:t>
              </w:r>
            </w:hyperlink>
            <w:hyperlink w:anchor="i8357e88468d94e2aabfcc0b3bdd73d43_16">
              <w:r>
                <w:rPr>
                  <w:rStyle w:val="InternetLink"/>
                  <w:rFonts w:ascii="Times New Roman;serif" w:hAnsi="Times New Roman;serif"/>
                  <w:b w:val="false"/>
                  <w:color w:val="000080"/>
                  <w:sz w:val="20"/>
                  <w:u w:val="single"/>
                </w:rPr>
                <w:t>June</w:t>
              </w:r>
            </w:hyperlink>
            <w:hyperlink w:anchor="i8357e88468d94e2aabfcc0b3bdd73d43_16">
              <w:r>
                <w:rPr>
                  <w:rStyle w:val="InternetLink"/>
                  <w:rFonts w:ascii="Times New Roman;serif" w:hAnsi="Times New Roman;serif"/>
                  <w:b w:val="false"/>
                  <w:color w:val="000080"/>
                  <w:sz w:val="20"/>
                  <w:u w:val="single"/>
                </w:rPr>
                <w:t xml:space="preserve"> 3</w:t>
              </w:r>
            </w:hyperlink>
            <w:hyperlink w:anchor="i8357e88468d94e2aabfcc0b3bdd73d43_16">
              <w:r>
                <w:rPr>
                  <w:rStyle w:val="InternetLink"/>
                  <w:rFonts w:ascii="Times New Roman;serif" w:hAnsi="Times New Roman;serif"/>
                  <w:b w:val="false"/>
                  <w:color w:val="000080"/>
                  <w:sz w:val="20"/>
                  <w:u w:val="single"/>
                </w:rPr>
                <w:t>0</w:t>
              </w:r>
            </w:hyperlink>
            <w:hyperlink w:anchor="i8357e88468d94e2aabfcc0b3bdd73d43_16">
              <w:r>
                <w:rPr>
                  <w:rStyle w:val="InternetLink"/>
                  <w:rFonts w:ascii="Times New Roman;serif" w:hAnsi="Times New Roman;serif"/>
                  <w:b w:val="false"/>
                  <w:color w:val="000080"/>
                  <w:sz w:val="20"/>
                  <w:u w:val="single"/>
                </w:rPr>
                <w:t>, 2026 (Unaudited)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6">
              <w:r>
                <w:rPr>
                  <w:rStyle w:val="InternetLink"/>
                  <w:rFonts w:ascii="Times New Roman;serif" w:hAnsi="Times New Roman;serif"/>
                  <w:b w:val="false"/>
                  <w:color w:val="0000FF"/>
                  <w:sz w:val="20"/>
                  <w:u w:val="single"/>
                </w:rPr>
                <w:t>1</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9">
              <w:r>
                <w:rPr>
                  <w:rStyle w:val="InternetLink"/>
                  <w:rFonts w:ascii="Times New Roman;serif" w:hAnsi="Times New Roman;serif"/>
                  <w:b w:val="false"/>
                  <w:color w:val="000080"/>
                  <w:sz w:val="20"/>
                  <w:u w:val="single"/>
                </w:rPr>
                <w:t xml:space="preserve">Unaudited Consolidated Statements of Operations for the three </w:t>
              </w:r>
            </w:hyperlink>
            <w:hyperlink w:anchor="i8357e88468d94e2aabfcc0b3bdd73d43_19">
              <w:r>
                <w:rPr>
                  <w:rStyle w:val="InternetLink"/>
                  <w:rFonts w:ascii="Times New Roman;serif" w:hAnsi="Times New Roman;serif"/>
                  <w:b w:val="false"/>
                  <w:color w:val="000080"/>
                  <w:sz w:val="20"/>
                  <w:u w:val="single"/>
                </w:rPr>
                <w:t>and si</w:t>
              </w:r>
            </w:hyperlink>
            <w:hyperlink w:anchor="i8357e88468d94e2aabfcc0b3bdd73d43_19">
              <w:r>
                <w:rPr>
                  <w:rStyle w:val="InternetLink"/>
                  <w:rFonts w:ascii="Times New Roman;serif" w:hAnsi="Times New Roman;serif"/>
                  <w:b w:val="false"/>
                  <w:color w:val="000080"/>
                  <w:sz w:val="20"/>
                  <w:u w:val="single"/>
                </w:rPr>
                <w:t xml:space="preserve">x </w:t>
              </w:r>
            </w:hyperlink>
            <w:hyperlink w:anchor="i8357e88468d94e2aabfcc0b3bdd73d43_19">
              <w:r>
                <w:rPr>
                  <w:rStyle w:val="InternetLink"/>
                  <w:rFonts w:ascii="Times New Roman;serif" w:hAnsi="Times New Roman;serif"/>
                  <w:b w:val="false"/>
                  <w:color w:val="000080"/>
                  <w:sz w:val="20"/>
                  <w:u w:val="single"/>
                </w:rPr>
                <w:t xml:space="preserve">months ended </w:t>
              </w:r>
            </w:hyperlink>
            <w:hyperlink w:anchor="i8357e88468d94e2aabfcc0b3bdd73d43_19">
              <w:r>
                <w:rPr>
                  <w:rStyle w:val="InternetLink"/>
                  <w:rFonts w:ascii="Times New Roman;serif" w:hAnsi="Times New Roman;serif"/>
                  <w:b w:val="false"/>
                  <w:color w:val="000080"/>
                  <w:sz w:val="20"/>
                  <w:u w:val="single"/>
                </w:rPr>
                <w:t>June 30</w:t>
              </w:r>
            </w:hyperlink>
            <w:hyperlink w:anchor="i8357e88468d94e2aabfcc0b3bdd73d43_19">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9">
              <w:r>
                <w:rPr>
                  <w:rStyle w:val="InternetLink"/>
                  <w:rFonts w:ascii="Times New Roman;serif" w:hAnsi="Times New Roman;serif"/>
                  <w:b w:val="false"/>
                  <w:color w:val="0000FF"/>
                  <w:sz w:val="20"/>
                  <w:u w:val="single"/>
                </w:rPr>
                <w:t>2</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22">
              <w:r>
                <w:rPr>
                  <w:rStyle w:val="InternetLink"/>
                  <w:rFonts w:ascii="Times New Roman;serif" w:hAnsi="Times New Roman;serif"/>
                  <w:b w:val="false"/>
                  <w:color w:val="000080"/>
                  <w:sz w:val="20"/>
                  <w:u w:val="single"/>
                </w:rPr>
                <w:t xml:space="preserve">Unaudited Consolidated Statements of Comprehensive Income for the three </w:t>
              </w:r>
            </w:hyperlink>
            <w:hyperlink w:anchor="i8357e88468d94e2aabfcc0b3bdd73d43_22">
              <w:r>
                <w:rPr>
                  <w:rStyle w:val="InternetLink"/>
                  <w:rFonts w:ascii="Times New Roman;serif" w:hAnsi="Times New Roman;serif"/>
                  <w:b w:val="false"/>
                  <w:color w:val="000080"/>
                  <w:sz w:val="20"/>
                  <w:u w:val="single"/>
                </w:rPr>
                <w:t xml:space="preserve">and six </w:t>
              </w:r>
            </w:hyperlink>
            <w:hyperlink w:anchor="i8357e88468d94e2aabfcc0b3bdd73d43_22">
              <w:r>
                <w:rPr>
                  <w:rStyle w:val="InternetLink"/>
                  <w:rFonts w:ascii="Times New Roman;serif" w:hAnsi="Times New Roman;serif"/>
                  <w:b w:val="false"/>
                  <w:color w:val="000080"/>
                  <w:sz w:val="20"/>
                  <w:u w:val="single"/>
                </w:rPr>
                <w:t xml:space="preserve">months ended </w:t>
              </w:r>
            </w:hyperlink>
            <w:hyperlink w:anchor="i8357e88468d94e2aabfcc0b3bdd73d43_22">
              <w:r>
                <w:rPr>
                  <w:rStyle w:val="InternetLink"/>
                  <w:rFonts w:ascii="Times New Roman;serif" w:hAnsi="Times New Roman;serif"/>
                  <w:b w:val="false"/>
                  <w:color w:val="000080"/>
                  <w:sz w:val="20"/>
                  <w:u w:val="single"/>
                </w:rPr>
                <w:t>June 30</w:t>
              </w:r>
            </w:hyperlink>
            <w:hyperlink w:anchor="i8357e88468d94e2aabfcc0b3bdd73d43_22">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22">
              <w:r>
                <w:rPr>
                  <w:rStyle w:val="InternetLink"/>
                  <w:rFonts w:ascii="Times New Roman;serif" w:hAnsi="Times New Roman;serif"/>
                  <w:b w:val="false"/>
                  <w:color w:val="0000FF"/>
                  <w:sz w:val="20"/>
                  <w:u w:val="single"/>
                </w:rPr>
                <w:t>3</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25">
              <w:r>
                <w:rPr>
                  <w:rStyle w:val="InternetLink"/>
                  <w:rFonts w:ascii="Times New Roman;serif" w:hAnsi="Times New Roman;serif"/>
                  <w:b w:val="false"/>
                  <w:color w:val="000080"/>
                  <w:sz w:val="20"/>
                  <w:u w:val="single"/>
                </w:rPr>
                <w:t xml:space="preserve">Unaudited Consolidated Statements of Changes in Equity for the three </w:t>
              </w:r>
            </w:hyperlink>
            <w:hyperlink w:anchor="i8357e88468d94e2aabfcc0b3bdd73d43_25">
              <w:r>
                <w:rPr>
                  <w:rStyle w:val="InternetLink"/>
                  <w:rFonts w:ascii="Times New Roman;serif" w:hAnsi="Times New Roman;serif"/>
                  <w:b w:val="false"/>
                  <w:color w:val="000080"/>
                  <w:sz w:val="20"/>
                  <w:u w:val="single"/>
                </w:rPr>
                <w:t>and s</w:t>
              </w:r>
            </w:hyperlink>
            <w:hyperlink w:anchor="i8357e88468d94e2aabfcc0b3bdd73d43_25">
              <w:r>
                <w:rPr>
                  <w:rStyle w:val="InternetLink"/>
                  <w:rFonts w:ascii="Times New Roman;serif" w:hAnsi="Times New Roman;serif"/>
                  <w:b w:val="false"/>
                  <w:color w:val="000080"/>
                  <w:sz w:val="20"/>
                  <w:u w:val="single"/>
                </w:rPr>
                <w:t xml:space="preserve">ix </w:t>
              </w:r>
            </w:hyperlink>
            <w:hyperlink w:anchor="i8357e88468d94e2aabfcc0b3bdd73d43_25">
              <w:r>
                <w:rPr>
                  <w:rStyle w:val="InternetLink"/>
                  <w:rFonts w:ascii="Times New Roman;serif" w:hAnsi="Times New Roman;serif"/>
                  <w:b w:val="false"/>
                  <w:color w:val="000080"/>
                  <w:sz w:val="20"/>
                  <w:u w:val="single"/>
                </w:rPr>
                <w:t>months ended</w:t>
              </w:r>
            </w:hyperlink>
            <w:hyperlink w:anchor="i8357e88468d94e2aabfcc0b3bdd73d43_25">
              <w:r>
                <w:rPr>
                  <w:rStyle w:val="InternetLink"/>
                  <w:rFonts w:ascii="Times New Roman;serif" w:hAnsi="Times New Roman;serif"/>
                  <w:b w:val="false"/>
                  <w:color w:val="000080"/>
                  <w:sz w:val="20"/>
                  <w:u w:val="single"/>
                </w:rPr>
                <w:t xml:space="preserve"> J</w:t>
              </w:r>
            </w:hyperlink>
            <w:hyperlink w:anchor="i8357e88468d94e2aabfcc0b3bdd73d43_25">
              <w:r>
                <w:rPr>
                  <w:rStyle w:val="InternetLink"/>
                  <w:rFonts w:ascii="Times New Roman;serif" w:hAnsi="Times New Roman;serif"/>
                  <w:b w:val="false"/>
                  <w:color w:val="000080"/>
                  <w:sz w:val="20"/>
                  <w:u w:val="single"/>
                </w:rPr>
                <w:t>une 30</w:t>
              </w:r>
            </w:hyperlink>
            <w:hyperlink w:anchor="i8357e88468d94e2aabfcc0b3bdd73d43_25">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25">
              <w:r>
                <w:rPr>
                  <w:rStyle w:val="InternetLink"/>
                  <w:rFonts w:ascii="Times New Roman;serif" w:hAnsi="Times New Roman;serif"/>
                  <w:b w:val="false"/>
                  <w:color w:val="0000FF"/>
                  <w:sz w:val="20"/>
                  <w:u w:val="single"/>
                </w:rPr>
                <w:t>4</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28">
              <w:r>
                <w:rPr>
                  <w:rStyle w:val="InternetLink"/>
                  <w:rFonts w:ascii="Times New Roman;serif" w:hAnsi="Times New Roman;serif"/>
                  <w:b w:val="false"/>
                  <w:color w:val="000080"/>
                  <w:sz w:val="20"/>
                  <w:u w:val="single"/>
                </w:rPr>
                <w:t xml:space="preserve">Unaudited Consolidated Statements of Cash Flows for the </w:t>
              </w:r>
            </w:hyperlink>
            <w:hyperlink w:anchor="i8357e88468d94e2aabfcc0b3bdd73d43_28">
              <w:r>
                <w:rPr>
                  <w:rStyle w:val="InternetLink"/>
                  <w:rFonts w:ascii="Times New Roman;serif" w:hAnsi="Times New Roman;serif"/>
                  <w:b w:val="false"/>
                  <w:color w:val="000080"/>
                  <w:sz w:val="20"/>
                  <w:u w:val="single"/>
                </w:rPr>
                <w:t>six</w:t>
              </w:r>
            </w:hyperlink>
            <w:hyperlink w:anchor="i8357e88468d94e2aabfcc0b3bdd73d43_28">
              <w:r>
                <w:rPr>
                  <w:rStyle w:val="InternetLink"/>
                  <w:rFonts w:ascii="Times New Roman;serif" w:hAnsi="Times New Roman;serif"/>
                  <w:b w:val="false"/>
                  <w:color w:val="000080"/>
                  <w:sz w:val="20"/>
                  <w:u w:val="single"/>
                </w:rPr>
                <w:t xml:space="preserve"> months ended </w:t>
              </w:r>
            </w:hyperlink>
            <w:hyperlink w:anchor="i8357e88468d94e2aabfcc0b3bdd73d43_28">
              <w:r>
                <w:rPr>
                  <w:rStyle w:val="InternetLink"/>
                  <w:rFonts w:ascii="Times New Roman;serif" w:hAnsi="Times New Roman;serif"/>
                  <w:b w:val="false"/>
                  <w:color w:val="000080"/>
                  <w:sz w:val="20"/>
                  <w:u w:val="single"/>
                </w:rPr>
                <w:t>June 30</w:t>
              </w:r>
            </w:hyperlink>
            <w:hyperlink w:anchor="i8357e88468d94e2aabfcc0b3bdd73d43_28">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28">
              <w:r>
                <w:rPr>
                  <w:rStyle w:val="InternetLink"/>
                  <w:rFonts w:ascii="Times New Roman;serif" w:hAnsi="Times New Roman;serif"/>
                  <w:b w:val="false"/>
                  <w:color w:val="0000FF"/>
                  <w:sz w:val="20"/>
                  <w:u w:val="single"/>
                </w:rPr>
                <w:t>6</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31">
              <w:r>
                <w:rPr>
                  <w:rStyle w:val="InternetLink"/>
                  <w:rFonts w:ascii="Times New Roman;serif" w:hAnsi="Times New Roman;serif"/>
                  <w:b w:val="false"/>
                  <w:color w:val="0000FF"/>
                  <w:sz w:val="20"/>
                  <w:u w:val="single"/>
                </w:rPr>
                <w:t>Notes to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31">
              <w:r>
                <w:rPr>
                  <w:rStyle w:val="InternetLink"/>
                  <w:rFonts w:ascii="Times New Roman;serif" w:hAnsi="Times New Roman;serif"/>
                  <w:b w:val="false"/>
                  <w:color w:val="0000FF"/>
                  <w:sz w:val="20"/>
                  <w:u w:val="single"/>
                </w:rPr>
                <w:t>8</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57e88468d94e2aabfcc0b3bdd73d43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79">
              <w:r>
                <w:rPr>
                  <w:rStyle w:val="InternetLink"/>
                  <w:rFonts w:ascii="Times New Roman;serif" w:hAnsi="Times New Roman;serif"/>
                  <w:b w:val="false"/>
                  <w:color w:val="0000FF"/>
                  <w:sz w:val="20"/>
                  <w:u w:val="single"/>
                </w:rPr>
                <w:t>42</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09">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09">
              <w:r>
                <w:rPr>
                  <w:rStyle w:val="InternetLink"/>
                  <w:rFonts w:ascii="Times New Roman;serif" w:hAnsi="Times New Roman;serif"/>
                  <w:b w:val="false"/>
                  <w:color w:val="0000FF"/>
                  <w:sz w:val="20"/>
                  <w:u w:val="single"/>
                </w:rPr>
                <w:t>55</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12">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12">
              <w:r>
                <w:rPr>
                  <w:rStyle w:val="InternetLink"/>
                  <w:rFonts w:ascii="Times New Roman;serif" w:hAnsi="Times New Roman;serif"/>
                  <w:b w:val="false"/>
                  <w:color w:val="0000FF"/>
                  <w:sz w:val="20"/>
                  <w:u w:val="single"/>
                </w:rPr>
                <w:t>57</w:t>
              </w:r>
            </w:hyperlink>
          </w:p>
        </w:tc>
      </w:tr>
      <w:tr>
        <w:trPr/>
        <w:tc>
          <w:tcPr>
            <w:tcW w:w="9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18">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18">
              <w:r>
                <w:rPr>
                  <w:rStyle w:val="InternetLink"/>
                  <w:rFonts w:ascii="Times New Roman;serif" w:hAnsi="Times New Roman;serif"/>
                  <w:b w:val="false"/>
                  <w:color w:val="0000FF"/>
                  <w:sz w:val="20"/>
                  <w:u w:val="single"/>
                </w:rPr>
                <w:t>57</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21">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21">
              <w:r>
                <w:rPr>
                  <w:rStyle w:val="InternetLink"/>
                  <w:rFonts w:ascii="Times New Roman;serif" w:hAnsi="Times New Roman;serif"/>
                  <w:b w:val="false"/>
                  <w:color w:val="0000FF"/>
                  <w:sz w:val="20"/>
                  <w:u w:val="single"/>
                </w:rPr>
                <w:t>57</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24">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24">
              <w:r>
                <w:rPr>
                  <w:rStyle w:val="InternetLink"/>
                  <w:rFonts w:ascii="Times New Roman;serif" w:hAnsi="Times New Roman;serif"/>
                  <w:b w:val="false"/>
                  <w:color w:val="0000FF"/>
                  <w:sz w:val="20"/>
                  <w:u w:val="single"/>
                </w:rPr>
                <w:t>57</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27">
              <w:r>
                <w:rPr>
                  <w:rStyle w:val="InternetLink"/>
                  <w:rFonts w:ascii="Times New Roman;serif" w:hAnsi="Times New Roman;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27">
              <w:r>
                <w:rPr>
                  <w:rStyle w:val="InternetLink"/>
                  <w:rFonts w:ascii="Times New Roman;serif" w:hAnsi="Times New Roman;serif"/>
                  <w:b w:val="false"/>
                  <w:color w:val="0000FF"/>
                  <w:sz w:val="20"/>
                  <w:u w:val="single"/>
                </w:rPr>
                <w:t>58</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30">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30">
              <w:r>
                <w:rPr>
                  <w:rStyle w:val="InternetLink"/>
                  <w:rFonts w:ascii="Times New Roman;serif" w:hAnsi="Times New Roman;serif"/>
                  <w:b w:val="false"/>
                  <w:color w:val="0000FF"/>
                  <w:sz w:val="20"/>
                  <w:u w:val="single"/>
                </w:rPr>
                <w:t>58</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33">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33">
              <w:r>
                <w:rPr>
                  <w:rStyle w:val="InternetLink"/>
                  <w:rFonts w:ascii="Times New Roman;serif" w:hAnsi="Times New Roman;serif"/>
                  <w:b w:val="false"/>
                  <w:color w:val="0000FF"/>
                  <w:sz w:val="20"/>
                  <w:u w:val="single"/>
                </w:rPr>
                <w:t>58</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36">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36">
              <w:r>
                <w:rPr>
                  <w:rStyle w:val="InternetLink"/>
                  <w:rFonts w:ascii="Times New Roman;serif" w:hAnsi="Times New Roman;serif"/>
                  <w:b w:val="false"/>
                  <w:color w:val="0000FF"/>
                  <w:sz w:val="20"/>
                  <w:u w:val="single"/>
                </w:rPr>
                <w:t>59</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e88468d94e2aabfcc0b3bdd73d43_139">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e88468d94e2aabfcc0b3bdd73d43_139">
              <w:r>
                <w:rPr>
                  <w:rStyle w:val="InternetLink"/>
                  <w:rFonts w:ascii="Times New Roman;serif" w:hAnsi="Times New Roman;serif"/>
                  <w:b w:val="false"/>
                  <w:color w:val="0000FF"/>
                  <w:sz w:val="20"/>
                  <w:u w:val="single"/>
                </w:rPr>
                <w:t>60</w:t>
              </w:r>
            </w:hyperlink>
          </w:p>
        </w:tc>
      </w:tr>
    </w:tbl>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0" w:after="0"/>
        <w:jc w:val="center"/>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 xml:space="preserve">FS Credit Real Estate Income Trust,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amounts)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508"/>
        <w:gridCol w:w="2061"/>
        <w:gridCol w:w="2092"/>
        <w:gridCol w:w="271"/>
        <w:gridCol w:w="1334"/>
        <w:gridCol w:w="150"/>
        <w:gridCol w:w="109"/>
        <w:gridCol w:w="109"/>
        <w:gridCol w:w="109"/>
        <w:gridCol w:w="218"/>
        <w:gridCol w:w="1070"/>
        <w:gridCol w:w="174"/>
      </w:tblGrid>
      <w:tr>
        <w:trPr/>
        <w:tc>
          <w:tcPr>
            <w:tcW w:w="2508"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174,100 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265,361 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87,224 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Loans receivable, held-for-investment, net of credit loss allowances of $69,864 and $77,270</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8,421,115 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7,764,337 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Mortgage-backed securities held-to-maturity, net of credit loss allowances of $0 and $59</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Mortgage-backed securities, at fair value, credit loss allowances of $23,813 and $23,895</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193,906 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201,618 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in real estate, held-for-investment</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514,424 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423,363 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in real estate, held-for-sale</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116,851 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223,167 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Receivable for investments sold and repaid</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19,833 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receivable</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100,331 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72,964 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loans held in securitization trusts, at fair value</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1,754,665 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2,654,570 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Total assets</w:t>
            </w:r>
            <w:r>
              <w:rPr>
                <w:rFonts w:ascii="Times New Roman;serif" w:hAnsi="Times New Roman;serif"/>
                <w:b/>
                <w:color w:val="000000"/>
                <w:sz w:val="11"/>
              </w:rPr>
              <w:t>(1)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11,375,746 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11,759,144 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loan obligations, net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3,317,879 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2,510,160 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agreements payable, net</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2,238,780 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2,663,928 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Credit facilities payable, net</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1,121,452 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1,042,958 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note payable, net</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124,700 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124,700 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Due to related party</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86,901 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payable</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Payable for shares repurchased</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obligations issued by securitization trusts, at fair value</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1,614,280 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2,408,636 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Total liabilities</w:t>
            </w:r>
            <w:r>
              <w:rPr>
                <w:rFonts w:ascii="Times New Roman;serif" w:hAnsi="Times New Roman;serif"/>
                <w:b/>
                <w:color w:val="000000"/>
                <w:sz w:val="11"/>
              </w:rPr>
              <w:t>(1)</w:t>
            </w:r>
          </w:p>
        </w:tc>
        <w:tc>
          <w:tcPr>
            <w:tcW w:w="1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8,606,297 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8,942,438 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(See Note 11)</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Preferred stock, $0.01 par value, 100,000,000 shares authorized, 125 and 125 issued and outstanding, respectively</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F common stock, $0.01 par value, 125,000,000 shares authorized, 582,636 and 583,372 issued and outstanding, respectively </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Y common stock, $0.01 par value, 125,000,000 shares authorized, 843,658 and 843,658 issued and outstanding, respectively </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T common stock, $0.01 par value, 125,000,000 shares authorized, 664,169 and 695,928 issued and outstanding, respectively </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S common stock, $0.01 par value, 125,000,000 shares authorized, 66,581,300 and 67,157,395 issued and outstanding, respectively </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D common stock, $0.01 par value, 125,000,000 shares authorized, 354,021 and 372,610 issued and outstanding, respectively </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M common stock, $0.01 par value, 125,000,000 shares authorized, 3,421,662 and 3,864,662 issued and outstanding, respectively </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I common stock, $0.01 par value, 300,000,000 shares authorized, 49,312,173 and 49,713,386 issued and outstanding, respectively </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2,968,627 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2,977,770 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 (accumulated deficit)</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(198,689)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(160,896)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stockholders' equity</w:t>
            </w:r>
          </w:p>
        </w:tc>
        <w:tc>
          <w:tcPr>
            <w:tcW w:w="1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2,769,449 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2,816,706 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and stockholders' equity</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11,375,746 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11,759,144 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w:t>
      </w:r>
    </w:p>
    <w:p>
      <w:pPr>
        <w:pStyle w:val="TextBody"/>
        <w:bidi w:val="0"/>
        <w:spacing w:lineRule="auto" w:line="288" w:before="0" w:after="60"/>
        <w:ind w:left="0" w:right="0" w:hanging="450"/>
        <w:jc w:val="left"/>
        <w:rPr/>
      </w:pPr>
      <w:r>
        <w:rPr>
          <w:rFonts w:ascii="Times New Roman;serif" w:hAnsi="Times New Roman;serif"/>
          <w:b w:val="false"/>
          <w:color w:val="000000"/>
          <w:sz w:val="14"/>
        </w:rPr>
        <w:t>(1)    </w:t>
      </w:r>
      <w:r>
        <w:rPr>
          <w:rFonts w:ascii="Times New Roman;serif" w:hAnsi="Times New Roman;serif"/>
          <w:b w:val="false"/>
          <w:color w:val="000000"/>
          <w:sz w:val="16"/>
        </w:rPr>
        <w:t>The June 30, 2026 and December 31, 2025 consolidated balance sheets include assets of consolidated variable interest entities, or VIEs, that can only be used to settle obligations of the VIEs, and liabilities of consolidated VIEs for which creditors do not have recourse to FS Credit Real Estate Income Trust, Inc. As of June 30, 2026 and December 31, 2025, assets of the VIEs totaled $5,763,975 and $5,709,015, respectively, and liabilities of the VIEs totaled $4,938,775 and $4,924,443, respectively. See Note 10 to our consolidated financial statements included herein for further details.</w:t>
      </w:r>
    </w:p>
    <w:p>
      <w:pPr>
        <w:pStyle w:val="TextBody"/>
        <w:bidi w:val="0"/>
        <w:spacing w:before="0" w:after="6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840"/>
                <wp:effectExtent l="0" t="0" r="0" b="0"/>
                <wp:wrapNone/>
                <wp:docPr id="5" name="Frame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p>
      <w:pPr>
        <w:pStyle w:val="TextBody"/>
        <w:bidi w:val="0"/>
        <w:spacing w:before="0" w:after="0"/>
        <w:jc w:val="center"/>
        <w:rPr/>
      </w:pPr>
      <w:r>
        <w:rPr/>
      </w:r>
    </w:p>
    <w:p>
      <w:pPr>
        <w:pStyle w:val="TextBody"/>
        <w:bidi w:val="0"/>
        <w:spacing w:before="10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05"/>
        <w:gridCol w:w="1239"/>
        <w:gridCol w:w="1243"/>
        <w:gridCol w:w="109"/>
        <w:gridCol w:w="109"/>
        <w:gridCol w:w="109"/>
        <w:gridCol w:w="221"/>
        <w:gridCol w:w="830"/>
        <w:gridCol w:w="113"/>
        <w:gridCol w:w="113"/>
        <w:gridCol w:w="113"/>
        <w:gridCol w:w="113"/>
        <w:gridCol w:w="221"/>
        <w:gridCol w:w="830"/>
        <w:gridCol w:w="113"/>
        <w:gridCol w:w="109"/>
        <w:gridCol w:w="109"/>
        <w:gridCol w:w="109"/>
        <w:gridCol w:w="221"/>
        <w:gridCol w:w="830"/>
        <w:gridCol w:w="109"/>
        <w:gridCol w:w="109"/>
        <w:gridCol w:w="109"/>
        <w:gridCol w:w="109"/>
        <w:gridCol w:w="221"/>
        <w:gridCol w:w="830"/>
        <w:gridCol w:w="159"/>
      </w:tblGrid>
      <w:tr>
        <w:trPr/>
        <w:tc>
          <w:tcPr>
            <w:tcW w:w="17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on mortgage loans held in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 expense on mortgage obligations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130,070 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Expense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Expense recoupment to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(loss) on 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(loss) on mortgage-backed securities, fair value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mortgage loans and obligations held in securitization trusts,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real estate,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70,461 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FS Credit Real Estate Income Trust,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information—basic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122,701,902 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119,976,846 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123,502,653 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121,239,780 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126,325,835 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122,396,378 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127,039,129 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123,492,967 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7130"/>
                <wp:effectExtent l="0" t="0" r="0" b="0"/>
                <wp:wrapNone/>
                <wp:docPr id="6" name="Frame6"/>
                <a:graphic xmlns:a="http://schemas.openxmlformats.org/drawingml/2006/main">
                  <a:graphicData uri="http://schemas.microsoft.com/office/word/2010/wordprocessingShape">
                    <wps:wsp>
                      <wps:cNvSpPr txBox="1"/>
                      <wps:spPr>
                        <a:xfrm>
                          <a:off x="0" y="0"/>
                          <a:ext cx="6480175" cy="1167130"/>
                        </a:xfrm>
                        <a:prstGeom prst="rect"/>
                        <a:solidFill>
                          <a:srgbClr val="FFFFFF"/>
                        </a:solidFill>
                      </wps:spPr>
                      <wps:txbx>
                        <w:txbxContent>
                          <w:p>
                            <w:pPr>
                              <w:pStyle w:val="TextBody"/>
                              <w:bidi w:val="0"/>
                              <w:spacing w:before="0" w:after="0"/>
                              <w:jc w:val="center"/>
                              <w:rPr/>
                            </w:pPr>
                            <w:r>
                              <w:rPr/>
                            </w:r>
                          </w:p>
                          <w:p>
                            <w:pPr>
                              <w:pStyle w:val="TextBody"/>
                              <w:bidi w:val="0"/>
                              <w:spacing w:before="60" w:after="120"/>
                              <w:ind w:left="0" w:right="0" w:hanging="450"/>
                              <w:jc w:val="left"/>
                              <w:rPr/>
                            </w:pPr>
                            <w:r>
                              <w:rPr/>
                            </w:r>
                          </w:p>
                          <w:p>
                            <w:pPr>
                              <w:pStyle w:val="TextBody"/>
                              <w:bidi w:val="0"/>
                              <w:spacing w:lineRule="auto" w:line="288" w:before="0" w:after="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60" w:after="120"/>
                        <w:ind w:left="0" w:right="0" w:hanging="450"/>
                        <w:jc w:val="left"/>
                        <w:rPr/>
                      </w:pPr>
                      <w:r>
                        <w:rPr/>
                      </w:r>
                    </w:p>
                    <w:p>
                      <w:pPr>
                        <w:pStyle w:val="TextBody"/>
                        <w:bidi w:val="0"/>
                        <w:spacing w:lineRule="auto" w:line="288" w:before="0" w:after="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76"/>
        <w:gridCol w:w="1548"/>
        <w:gridCol w:w="1563"/>
        <w:gridCol w:w="109"/>
        <w:gridCol w:w="109"/>
        <w:gridCol w:w="109"/>
        <w:gridCol w:w="210"/>
        <w:gridCol w:w="692"/>
        <w:gridCol w:w="116"/>
        <w:gridCol w:w="116"/>
        <w:gridCol w:w="116"/>
        <w:gridCol w:w="116"/>
        <w:gridCol w:w="210"/>
        <w:gridCol w:w="692"/>
        <w:gridCol w:w="116"/>
        <w:gridCol w:w="109"/>
        <w:gridCol w:w="109"/>
        <w:gridCol w:w="109"/>
        <w:gridCol w:w="196"/>
        <w:gridCol w:w="646"/>
        <w:gridCol w:w="109"/>
        <w:gridCol w:w="109"/>
        <w:gridCol w:w="109"/>
        <w:gridCol w:w="109"/>
        <w:gridCol w:w="196"/>
        <w:gridCol w:w="646"/>
        <w:gridCol w:w="160"/>
      </w:tblGrid>
      <w:tr>
        <w:trPr/>
        <w:tc>
          <w:tcPr>
            <w:tcW w:w="177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(loss) on mortgage-backed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71,288 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7130"/>
                <wp:effectExtent l="0" t="0" r="0" b="0"/>
                <wp:wrapNone/>
                <wp:docPr id="7" name="Frame7"/>
                <a:graphic xmlns:a="http://schemas.openxmlformats.org/drawingml/2006/main">
                  <a:graphicData uri="http://schemas.microsoft.com/office/word/2010/wordprocessingShape">
                    <wps:wsp>
                      <wps:cNvSpPr txBox="1"/>
                      <wps:spPr>
                        <a:xfrm>
                          <a:off x="0" y="0"/>
                          <a:ext cx="6480175" cy="1167130"/>
                        </a:xfrm>
                        <a:prstGeom prst="rect"/>
                        <a:solidFill>
                          <a:srgbClr val="FFFFFF"/>
                        </a:solidFill>
                      </wps:spPr>
                      <wps:txbx>
                        <w:txbxContent>
                          <w:p>
                            <w:pPr>
                              <w:pStyle w:val="TextBody"/>
                              <w:bidi w:val="0"/>
                              <w:spacing w:before="0" w:after="0"/>
                              <w:jc w:val="center"/>
                              <w:rPr/>
                            </w:pPr>
                            <w:r>
                              <w:rPr/>
                            </w:r>
                          </w:p>
                          <w:p>
                            <w:pPr>
                              <w:pStyle w:val="TextBody"/>
                              <w:bidi w:val="0"/>
                              <w:spacing w:before="60" w:after="120"/>
                              <w:ind w:left="0" w:right="0" w:hanging="450"/>
                              <w:jc w:val="left"/>
                              <w:rPr/>
                            </w:pPr>
                            <w:r>
                              <w:rPr/>
                            </w:r>
                          </w:p>
                          <w:p>
                            <w:pPr>
                              <w:pStyle w:val="TextBody"/>
                              <w:bidi w:val="0"/>
                              <w:spacing w:lineRule="auto" w:line="288" w:before="0" w:after="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60" w:after="120"/>
                        <w:ind w:left="0" w:right="0" w:hanging="450"/>
                        <w:jc w:val="left"/>
                        <w:rPr/>
                      </w:pPr>
                      <w:r>
                        <w:rPr/>
                      </w:r>
                    </w:p>
                    <w:p>
                      <w:pPr>
                        <w:pStyle w:val="TextBody"/>
                        <w:bidi w:val="0"/>
                        <w:spacing w:lineRule="auto" w:line="288" w:before="0" w:after="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Changes in Equity</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4869" w:type="dxa"/>
        <w:jc w:val="left"/>
        <w:tblInd w:w="0" w:type="dxa"/>
        <w:tblLayout w:type="fixed"/>
        <w:tblCellMar>
          <w:top w:w="28" w:type="dxa"/>
          <w:left w:w="28" w:type="dxa"/>
          <w:bottom w:w="28" w:type="dxa"/>
          <w:right w:w="28" w:type="dxa"/>
        </w:tblCellMar>
      </w:tblPr>
      <w:tblGrid>
        <w:gridCol w:w="697"/>
        <w:gridCol w:w="244"/>
        <w:gridCol w:w="245"/>
        <w:gridCol w:w="109"/>
        <w:gridCol w:w="109"/>
        <w:gridCol w:w="109"/>
        <w:gridCol w:w="274"/>
        <w:gridCol w:w="338"/>
        <w:gridCol w:w="154"/>
        <w:gridCol w:w="109"/>
        <w:gridCol w:w="109"/>
        <w:gridCol w:w="109"/>
        <w:gridCol w:w="274"/>
        <w:gridCol w:w="338"/>
        <w:gridCol w:w="154"/>
        <w:gridCol w:w="109"/>
        <w:gridCol w:w="109"/>
        <w:gridCol w:w="109"/>
        <w:gridCol w:w="274"/>
        <w:gridCol w:w="338"/>
        <w:gridCol w:w="154"/>
        <w:gridCol w:w="109"/>
        <w:gridCol w:w="109"/>
        <w:gridCol w:w="109"/>
        <w:gridCol w:w="206"/>
        <w:gridCol w:w="444"/>
        <w:gridCol w:w="116"/>
        <w:gridCol w:w="109"/>
        <w:gridCol w:w="109"/>
        <w:gridCol w:w="109"/>
        <w:gridCol w:w="274"/>
        <w:gridCol w:w="338"/>
        <w:gridCol w:w="154"/>
        <w:gridCol w:w="109"/>
        <w:gridCol w:w="109"/>
        <w:gridCol w:w="109"/>
        <w:gridCol w:w="236"/>
        <w:gridCol w:w="398"/>
        <w:gridCol w:w="132"/>
        <w:gridCol w:w="109"/>
        <w:gridCol w:w="109"/>
        <w:gridCol w:w="109"/>
        <w:gridCol w:w="206"/>
        <w:gridCol w:w="444"/>
        <w:gridCol w:w="116"/>
        <w:gridCol w:w="109"/>
        <w:gridCol w:w="109"/>
        <w:gridCol w:w="109"/>
        <w:gridCol w:w="196"/>
        <w:gridCol w:w="871"/>
        <w:gridCol w:w="109"/>
        <w:gridCol w:w="109"/>
        <w:gridCol w:w="109"/>
        <w:gridCol w:w="109"/>
        <w:gridCol w:w="272"/>
        <w:gridCol w:w="792"/>
        <w:gridCol w:w="152"/>
        <w:gridCol w:w="109"/>
        <w:gridCol w:w="109"/>
        <w:gridCol w:w="109"/>
        <w:gridCol w:w="196"/>
        <w:gridCol w:w="806"/>
        <w:gridCol w:w="109"/>
        <w:gridCol w:w="327"/>
        <w:gridCol w:w="196"/>
        <w:gridCol w:w="871"/>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Accumulated Other Comprehensive Income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2,797,445 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distribution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contingent rights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distribution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0" w:after="60"/>
        <w:ind w:left="0" w:right="0" w:hanging="450"/>
        <w:jc w:val="left"/>
        <w:rPr/>
      </w:pPr>
      <w:r>
        <w:rPr>
          <w:rFonts w:ascii="Times New Roman;serif" w:hAnsi="Times New Roman;serif"/>
          <w:b w:val="false"/>
          <w:color w:val="000000"/>
          <w:sz w:val="18"/>
        </w:rPr>
        <w:t>(1)    </w:t>
      </w:r>
      <w:r>
        <w:rPr>
          <w:rFonts w:ascii="Times New Roman;serif" w:hAnsi="Times New Roman;serif"/>
          <w:b w:val="false"/>
          <w:color w:val="000000"/>
          <w:sz w:val="18"/>
          <w:shd w:fill="FFFFFF" w:val="clear"/>
        </w:rPr>
        <w:t>Comprised solely of unrealized gain (loss) on mortgage-backed securities, available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820670"/>
                <wp:effectExtent l="0" t="0" r="0" b="0"/>
                <wp:wrapNone/>
                <wp:docPr id="8" name="Frame8"/>
                <a:graphic xmlns:a="http://schemas.openxmlformats.org/drawingml/2006/main">
                  <a:graphicData uri="http://schemas.microsoft.com/office/word/2010/wordprocessingShape">
                    <wps:wsp>
                      <wps:cNvSpPr txBox="1"/>
                      <wps:spPr>
                        <a:xfrm>
                          <a:off x="0" y="0"/>
                          <a:ext cx="6480175" cy="2820670"/>
                        </a:xfrm>
                        <a:prstGeom prst="rect"/>
                        <a:solidFill>
                          <a:srgbClr val="FFFFFF"/>
                        </a:solidFill>
                      </wps:spPr>
                      <wps:txbx>
                        <w:txbxContent>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540"/>
                              <w:jc w:val="left"/>
                              <w:rPr/>
                            </w:pPr>
                            <w:r>
                              <w:rPr/>
                            </w:r>
                          </w:p>
                          <w:p>
                            <w:pPr>
                              <w:pStyle w:val="TextBody"/>
                              <w:bidi w:val="0"/>
                              <w:spacing w:before="60" w:after="120"/>
                              <w:ind w:left="0" w:right="0" w:hanging="450"/>
                              <w:jc w:val="center"/>
                              <w:rPr/>
                            </w:pPr>
                            <w:r>
                              <w:rPr/>
                            </w:r>
                          </w:p>
                          <w:p>
                            <w:pPr>
                              <w:pStyle w:val="TextBody"/>
                              <w:bidi w:val="0"/>
                              <w:spacing w:before="60" w:after="120"/>
                              <w:ind w:left="0" w:right="0" w:hanging="450"/>
                              <w:jc w:val="center"/>
                              <w:rPr/>
                            </w:pPr>
                            <w:r>
                              <w:rPr/>
                            </w:r>
                          </w:p>
                          <w:p>
                            <w:pPr>
                              <w:pStyle w:val="TextBody"/>
                              <w:bidi w:val="0"/>
                              <w:spacing w:lineRule="auto" w:line="288" w:before="60" w:after="12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lineRule="auto" w:line="288" w:before="6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60" w:after="120"/>
                              <w:ind w:left="0" w:right="0" w:hanging="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540"/>
                        <w:jc w:val="left"/>
                        <w:rPr/>
                      </w:pPr>
                      <w:r>
                        <w:rPr/>
                      </w:r>
                    </w:p>
                    <w:p>
                      <w:pPr>
                        <w:pStyle w:val="TextBody"/>
                        <w:bidi w:val="0"/>
                        <w:spacing w:before="60" w:after="120"/>
                        <w:ind w:left="0" w:right="0" w:hanging="450"/>
                        <w:jc w:val="center"/>
                        <w:rPr/>
                      </w:pPr>
                      <w:r>
                        <w:rPr/>
                      </w:r>
                    </w:p>
                    <w:p>
                      <w:pPr>
                        <w:pStyle w:val="TextBody"/>
                        <w:bidi w:val="0"/>
                        <w:spacing w:before="60" w:after="120"/>
                        <w:ind w:left="0" w:right="0" w:hanging="450"/>
                        <w:jc w:val="center"/>
                        <w:rPr/>
                      </w:pPr>
                      <w:r>
                        <w:rPr/>
                      </w:r>
                    </w:p>
                    <w:p>
                      <w:pPr>
                        <w:pStyle w:val="TextBody"/>
                        <w:bidi w:val="0"/>
                        <w:spacing w:lineRule="auto" w:line="288" w:before="60" w:after="12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lineRule="auto" w:line="288" w:before="6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60" w:after="120"/>
                        <w:ind w:left="0" w:right="0" w:hanging="450"/>
                        <w:jc w:val="left"/>
                        <w:rPr/>
                      </w:pPr>
                      <w:r>
                        <w:rPr/>
                      </w:r>
                    </w:p>
                  </w:txbxContent>
                </v:textbox>
                <w10:wrap type="none"/>
              </v:rect>
            </w:pict>
          </mc:Fallback>
        </mc:AlternateContent>
      </w:r>
    </w:p>
    <w:p>
      <w:pPr>
        <w:pStyle w:val="TextBody"/>
        <w:bidi w:val="0"/>
        <w:spacing w:lineRule="auto" w:line="26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Changes in Equity</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60"/>
        <w:ind w:left="0" w:right="0" w:hanging="54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4869" w:type="dxa"/>
        <w:jc w:val="left"/>
        <w:tblInd w:w="0" w:type="dxa"/>
        <w:tblLayout w:type="fixed"/>
        <w:tblCellMar>
          <w:top w:w="28" w:type="dxa"/>
          <w:left w:w="28" w:type="dxa"/>
          <w:bottom w:w="28" w:type="dxa"/>
          <w:right w:w="28" w:type="dxa"/>
        </w:tblCellMar>
      </w:tblPr>
      <w:tblGrid>
        <w:gridCol w:w="697"/>
        <w:gridCol w:w="244"/>
        <w:gridCol w:w="245"/>
        <w:gridCol w:w="109"/>
        <w:gridCol w:w="109"/>
        <w:gridCol w:w="109"/>
        <w:gridCol w:w="274"/>
        <w:gridCol w:w="338"/>
        <w:gridCol w:w="154"/>
        <w:gridCol w:w="109"/>
        <w:gridCol w:w="109"/>
        <w:gridCol w:w="109"/>
        <w:gridCol w:w="274"/>
        <w:gridCol w:w="338"/>
        <w:gridCol w:w="154"/>
        <w:gridCol w:w="109"/>
        <w:gridCol w:w="109"/>
        <w:gridCol w:w="109"/>
        <w:gridCol w:w="274"/>
        <w:gridCol w:w="338"/>
        <w:gridCol w:w="154"/>
        <w:gridCol w:w="109"/>
        <w:gridCol w:w="109"/>
        <w:gridCol w:w="109"/>
        <w:gridCol w:w="206"/>
        <w:gridCol w:w="444"/>
        <w:gridCol w:w="116"/>
        <w:gridCol w:w="109"/>
        <w:gridCol w:w="109"/>
        <w:gridCol w:w="109"/>
        <w:gridCol w:w="274"/>
        <w:gridCol w:w="338"/>
        <w:gridCol w:w="154"/>
        <w:gridCol w:w="109"/>
        <w:gridCol w:w="109"/>
        <w:gridCol w:w="109"/>
        <w:gridCol w:w="236"/>
        <w:gridCol w:w="398"/>
        <w:gridCol w:w="132"/>
        <w:gridCol w:w="109"/>
        <w:gridCol w:w="109"/>
        <w:gridCol w:w="109"/>
        <w:gridCol w:w="206"/>
        <w:gridCol w:w="444"/>
        <w:gridCol w:w="116"/>
        <w:gridCol w:w="109"/>
        <w:gridCol w:w="109"/>
        <w:gridCol w:w="109"/>
        <w:gridCol w:w="196"/>
        <w:gridCol w:w="871"/>
        <w:gridCol w:w="109"/>
        <w:gridCol w:w="109"/>
        <w:gridCol w:w="109"/>
        <w:gridCol w:w="109"/>
        <w:gridCol w:w="272"/>
        <w:gridCol w:w="792"/>
        <w:gridCol w:w="152"/>
        <w:gridCol w:w="109"/>
        <w:gridCol w:w="109"/>
        <w:gridCol w:w="109"/>
        <w:gridCol w:w="196"/>
        <w:gridCol w:w="806"/>
        <w:gridCol w:w="109"/>
        <w:gridCol w:w="327"/>
        <w:gridCol w:w="196"/>
        <w:gridCol w:w="871"/>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Accumulated Other Comprehensive Income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distribution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contingent rights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distribution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0" w:after="60"/>
        <w:ind w:left="0" w:right="0" w:hanging="450"/>
        <w:jc w:val="left"/>
        <w:rPr/>
      </w:pPr>
      <w:r>
        <w:rPr>
          <w:rFonts w:ascii="Times New Roman;serif" w:hAnsi="Times New Roman;serif"/>
          <w:b w:val="false"/>
          <w:color w:val="000000"/>
          <w:sz w:val="18"/>
        </w:rPr>
        <w:t>(1)    </w:t>
      </w:r>
      <w:r>
        <w:rPr>
          <w:rFonts w:ascii="Times New Roman;serif" w:hAnsi="Times New Roman;serif"/>
          <w:b w:val="false"/>
          <w:color w:val="000000"/>
          <w:sz w:val="18"/>
          <w:shd w:fill="FFFFFF" w:val="clear"/>
        </w:rPr>
        <w:t>Comprised solely of unrealized gain (loss) on mortgage-backed securities, available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820670"/>
                <wp:effectExtent l="0" t="0" r="0" b="0"/>
                <wp:wrapNone/>
                <wp:docPr id="9" name="Frame9"/>
                <a:graphic xmlns:a="http://schemas.openxmlformats.org/drawingml/2006/main">
                  <a:graphicData uri="http://schemas.microsoft.com/office/word/2010/wordprocessingShape">
                    <wps:wsp>
                      <wps:cNvSpPr txBox="1"/>
                      <wps:spPr>
                        <a:xfrm>
                          <a:off x="0" y="0"/>
                          <a:ext cx="6480175" cy="2820670"/>
                        </a:xfrm>
                        <a:prstGeom prst="rect"/>
                        <a:solidFill>
                          <a:srgbClr val="FFFFFF"/>
                        </a:solidFill>
                      </wps:spPr>
                      <wps:txbx>
                        <w:txbxContent>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540"/>
                              <w:jc w:val="left"/>
                              <w:rPr/>
                            </w:pPr>
                            <w:r>
                              <w:rPr/>
                            </w:r>
                          </w:p>
                          <w:p>
                            <w:pPr>
                              <w:pStyle w:val="TextBody"/>
                              <w:bidi w:val="0"/>
                              <w:spacing w:before="60" w:after="120"/>
                              <w:ind w:left="0" w:right="0" w:hanging="450"/>
                              <w:jc w:val="center"/>
                              <w:rPr/>
                            </w:pPr>
                            <w:r>
                              <w:rPr/>
                            </w:r>
                          </w:p>
                          <w:p>
                            <w:pPr>
                              <w:pStyle w:val="TextBody"/>
                              <w:bidi w:val="0"/>
                              <w:spacing w:before="60" w:after="120"/>
                              <w:ind w:left="0" w:right="0" w:hanging="450"/>
                              <w:jc w:val="center"/>
                              <w:rPr/>
                            </w:pPr>
                            <w:r>
                              <w:rPr/>
                            </w:r>
                          </w:p>
                          <w:p>
                            <w:pPr>
                              <w:pStyle w:val="TextBody"/>
                              <w:bidi w:val="0"/>
                              <w:spacing w:lineRule="auto" w:line="288" w:before="60" w:after="12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lineRule="auto" w:line="288" w:before="6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60" w:after="120"/>
                              <w:ind w:left="0" w:right="0" w:hanging="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540"/>
                        <w:jc w:val="left"/>
                        <w:rPr/>
                      </w:pPr>
                      <w:r>
                        <w:rPr/>
                      </w:r>
                    </w:p>
                    <w:p>
                      <w:pPr>
                        <w:pStyle w:val="TextBody"/>
                        <w:bidi w:val="0"/>
                        <w:spacing w:before="60" w:after="120"/>
                        <w:ind w:left="0" w:right="0" w:hanging="450"/>
                        <w:jc w:val="center"/>
                        <w:rPr/>
                      </w:pPr>
                      <w:r>
                        <w:rPr/>
                      </w:r>
                    </w:p>
                    <w:p>
                      <w:pPr>
                        <w:pStyle w:val="TextBody"/>
                        <w:bidi w:val="0"/>
                        <w:spacing w:before="60" w:after="120"/>
                        <w:ind w:left="0" w:right="0" w:hanging="450"/>
                        <w:jc w:val="center"/>
                        <w:rPr/>
                      </w:pPr>
                      <w:r>
                        <w:rPr/>
                      </w:r>
                    </w:p>
                    <w:p>
                      <w:pPr>
                        <w:pStyle w:val="TextBody"/>
                        <w:bidi w:val="0"/>
                        <w:spacing w:lineRule="auto" w:line="288" w:before="60" w:after="12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lineRule="auto" w:line="288" w:before="6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60" w:after="120"/>
                        <w:ind w:left="0" w:right="0" w:hanging="450"/>
                        <w:jc w:val="left"/>
                        <w:rPr/>
                      </w:pPr>
                      <w:r>
                        <w:rPr/>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445" w:type="dxa"/>
        <w:jc w:val="center"/>
        <w:tblInd w:w="0" w:type="dxa"/>
        <w:tblLayout w:type="fixed"/>
        <w:tblCellMar>
          <w:top w:w="28" w:type="dxa"/>
          <w:left w:w="28" w:type="dxa"/>
          <w:bottom w:w="28" w:type="dxa"/>
          <w:right w:w="28" w:type="dxa"/>
        </w:tblCellMar>
      </w:tblPr>
      <w:tblGrid>
        <w:gridCol w:w="2325"/>
        <w:gridCol w:w="2040"/>
        <w:gridCol w:w="2055"/>
        <w:gridCol w:w="109"/>
        <w:gridCol w:w="109"/>
        <w:gridCol w:w="109"/>
        <w:gridCol w:w="198"/>
        <w:gridCol w:w="747"/>
        <w:gridCol w:w="109"/>
        <w:gridCol w:w="109"/>
        <w:gridCol w:w="109"/>
        <w:gridCol w:w="109"/>
        <w:gridCol w:w="198"/>
        <w:gridCol w:w="747"/>
        <w:gridCol w:w="109"/>
        <w:gridCol w:w="109"/>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contingent rights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fees on loans and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valuation of 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mortgage-backed securities, fair value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mortgage loans and obligations held in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real estate,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Reimbursement due from (due to) sponsor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and fundings of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from loans receivable,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Exit and extension fees received on loans receivable,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mortgage-backed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mortgage-backed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mortgage loans held in securitization trusts,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mortgage loans held in securitization trusts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improvements to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distributions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collateralized loan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98880"/>
                <wp:effectExtent l="0" t="0" r="0" b="0"/>
                <wp:wrapNone/>
                <wp:docPr id="10" name="Frame10"/>
                <a:graphic xmlns:a="http://schemas.openxmlformats.org/drawingml/2006/main">
                  <a:graphicData uri="http://schemas.microsoft.com/office/word/2010/wordprocessingShape">
                    <wps:wsp>
                      <wps:cNvSpPr txBox="1"/>
                      <wps:spPr>
                        <a:xfrm>
                          <a:off x="0" y="0"/>
                          <a:ext cx="6480175" cy="119888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101" w:type="dxa"/>
        <w:jc w:val="center"/>
        <w:tblInd w:w="0" w:type="dxa"/>
        <w:tblLayout w:type="fixed"/>
        <w:tblCellMar>
          <w:top w:w="28" w:type="dxa"/>
          <w:left w:w="28" w:type="dxa"/>
          <w:bottom w:w="28" w:type="dxa"/>
          <w:right w:w="28" w:type="dxa"/>
        </w:tblCellMar>
      </w:tblPr>
      <w:tblGrid>
        <w:gridCol w:w="2599"/>
        <w:gridCol w:w="2280"/>
        <w:gridCol w:w="2291"/>
        <w:gridCol w:w="109"/>
        <w:gridCol w:w="109"/>
        <w:gridCol w:w="109"/>
        <w:gridCol w:w="196"/>
        <w:gridCol w:w="811"/>
        <w:gridCol w:w="109"/>
        <w:gridCol w:w="109"/>
        <w:gridCol w:w="109"/>
        <w:gridCol w:w="109"/>
        <w:gridCol w:w="196"/>
        <w:gridCol w:w="811"/>
        <w:gridCol w:w="154"/>
      </w:tblGrid>
      <w:tr>
        <w:trPr/>
        <w:tc>
          <w:tcPr>
            <w:tcW w:w="259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 and non-cash financial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stockholder servicing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stockholder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principal payments held by servicer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investments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532,214 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Deconsolidation of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(773,905)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Modifications accounted for as repayments and new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loans receivable held-for-investments to investments in real estate,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investments in real estate, held-for-sale to investments in real estate,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106,063 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98880"/>
                <wp:effectExtent l="0" t="0" r="0" b="0"/>
                <wp:wrapNone/>
                <wp:docPr id="11" name="Frame11"/>
                <a:graphic xmlns:a="http://schemas.openxmlformats.org/drawingml/2006/main">
                  <a:graphicData uri="http://schemas.microsoft.com/office/word/2010/wordprocessingShape">
                    <wps:wsp>
                      <wps:cNvSpPr txBox="1"/>
                      <wps:spPr>
                        <a:xfrm>
                          <a:off x="0" y="0"/>
                          <a:ext cx="6480175" cy="119888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Principal Business and Organization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FS Credit Real Estate Income Trust, Inc. (the "Company"), was incorporated under the general corporation laws of the State of Maryland on November 7, 2016 and formally commenced investment operations on September 13, 2017. The Company is managed by FS Real Estate Advisor, LLC, ("FS Real Estate Advisor" or the "adviser"), a subsidiary of the Company’s sponsor, Franklin Square Holdings, L.P., which does business as Future Standard ("Future Standard"), a national sponsor of alternative investment funds designed for the individual investor. FS Real Estate Advisor has engaged Rialto Capital Management, LLC, ("Rialto" or the "sub-adviser") to act as its sub-adviser. The Company is currently conducting a public offering of up to $2,500,000 of its Class T, Class S, Class D, Class M and Class I shares of common stock pursuant to a registration statement on Form S-11 filed with the Securities and Exchange Commission (the "SEC"), consisting of up to $2,250,000 in shares in its primary offering and up to $250,000 in shares pursuant to its distribution reinvestment plan. The Company is also conducting a private offering of its Class I common stock to certain accredited investors.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be taxed as a real estate investment trust ("REIT") for U.S. federal income tax purposes commencing with its taxable year ended December 31, 2017. The Company intends to be an investment vehicle of indefinite duration focused on real estate debt investments and other real estate-related assets. The shares of common stock are generally intended to be sold and repurchased by the Company on a continuous basis. The Company intends to conduct its operations so that it is not required to register under the Investment Company Act of 1940, as amended (the "1940 Act").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primary investment objectives are to: provide current income in the form of regular, stable cash distributions to achieve an attractive distribution yield; preserve and protect invested capital; realize appreciation in net asset value ("NAV") from proactive investment management and asset management; and provide an investment alternative for stockholders seeking to allocate a portion of their long-term investment portfolios to commercial real estate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Basis of Presentation: </w:t>
      </w:r>
      <w:r>
        <w:rPr>
          <w:rFonts w:ascii="Times New Roman;serif" w:hAnsi="Times New Roman;serif"/>
          <w:b w:val="false"/>
          <w:color w:val="000000"/>
          <w:sz w:val="20"/>
        </w:rPr>
        <w:t xml:space="preserve">The accompanying unaudited consolidated financial statements of the Company have been prepared in accordance with U.S. generally accepted accounting principles ("GAAP"). The unaudited consolidated financial statements include both the Company’s accounts and the accounts of its wholly owned subsidiaries and variable interest entities ("VIEs"), of which the Company is the primary beneficiary, as of June 30, 2026. All significant intercompany transactions have been eliminated in consolidation. In the opinion of management, the accompanying unaudited consolidated financial statements reflect all adjustments, which are normal and recurring in nature, necessary for fair financial statement presentation. The operating results presented for interim periods are not necessarily indicative of the results that may be expected for any other interim period or for the entire year. The Company has evaluated the impact of subsequent events through the date the unaudited consolidated financial statements were issued.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Use of Estimates: </w:t>
      </w:r>
      <w:r>
        <w:rPr>
          <w:rFonts w:ascii="Times New Roman;serif" w:hAnsi="Times New Roman;serif"/>
          <w:b w:val="false"/>
          <w:color w:val="000000"/>
          <w:sz w:val="20"/>
        </w:rPr>
        <w:t xml:space="preserve">The preparation of the unaudited consolidated financial statements in accordance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Principles of Consolidation: </w:t>
      </w:r>
      <w:r>
        <w:rPr>
          <w:rFonts w:ascii="Times New Roman;serif" w:hAnsi="Times New Roman;serif"/>
          <w:b w:val="false"/>
          <w:color w:val="000000"/>
          <w:sz w:val="20"/>
        </w:rPr>
        <w:t xml:space="preserve">Financial Accounting Standards Board ("FASB"), Accounting Standards Codification ("ASC") Topic 810—Consolidation, or ASC Topic 810, provides guidance on the identification of a VIE (an entity for which control is achieved through means other than voting rights) and the determination of which business enterprise, if any, should consolidate the VIE. An entity is considered a VIE if any of the following applies: (1) the equity investors (if any) lack one or more of the essential characteristics of a controlling financial interest; (2) the equity investment at risk is insufficient to finance that entity’s activities without additional subordinated financial support; or (3) the equity investors have voting rights that are not proportionate to their economic interests and the activities of the entity involve or are conducted on behalf of an investor with a disproportionately small voting interest.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 For the Company's consolidated securitization VIEs, the third party ownership interests are reflected as liabilities in the Company's consolidated balance sheets because the beneficial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interests payable to these third parties are legally issued in the form of debt. The Company's presentation of net income attributes earnings to controlling and non-controlling interests. Refer to Note 10 for additional discussion of the Company's VIEs.</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Cash, Cash Equivalents and Restricted Cash: </w:t>
      </w:r>
      <w:r>
        <w:rPr>
          <w:rFonts w:ascii="Times New Roman;serif" w:hAnsi="Times New Roman;serif"/>
          <w:b w:val="false"/>
          <w:color w:val="000000"/>
          <w:sz w:val="20"/>
        </w:rPr>
        <w:t>The Company considers all highly liquid investments with original maturities of three months or less to be cash equivalents. The Company's uninvested cash is maintained with high credit quality financial institutions, which are members of the Federal Deposit Insurance Corporation. The Company's cash is held with major financial institutions and generally exceed federally insured limits. Restricted cash primarily represents cash held in accounts to fund additional collateral interests within the Company's collateralized loan obligations as well as cash held at the property level of the Company's investments in real estate.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cash, cash equivalents and restricted cash in the Company’s unaudited consolidated balance sheets to the total amount shown in the Company’s unaudited consolidated statements of cash flows: </w:t>
      </w:r>
    </w:p>
    <w:tbl>
      <w:tblPr>
        <w:tblW w:w="6608" w:type="dxa"/>
        <w:jc w:val="left"/>
        <w:tblInd w:w="0" w:type="dxa"/>
        <w:tblLayout w:type="fixed"/>
        <w:tblCellMar>
          <w:top w:w="28" w:type="dxa"/>
          <w:left w:w="28" w:type="dxa"/>
          <w:bottom w:w="28" w:type="dxa"/>
          <w:right w:w="28" w:type="dxa"/>
        </w:tblCellMar>
      </w:tblPr>
      <w:tblGrid>
        <w:gridCol w:w="1429"/>
        <w:gridCol w:w="1254"/>
        <w:gridCol w:w="1261"/>
        <w:gridCol w:w="211"/>
        <w:gridCol w:w="82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Loans Receivable: </w:t>
      </w:r>
      <w:r>
        <w:rPr>
          <w:rFonts w:ascii="Times New Roman;serif" w:hAnsi="Times New Roman;serif"/>
          <w:b w:val="false"/>
          <w:color w:val="000000"/>
          <w:sz w:val="20"/>
        </w:rPr>
        <w:t xml:space="preserve">Loans that the Company has the intent and ability to hold for the foreseeable future are classified as held-for-investment. Loans originated by the Company are carried at amortized cost, net of credit loss allowances as discussed below. Purchased loans are recorded at amortized cost, or unpaid principal balance plus purchase premium or less unamortized discount. Costs to purchase loans are expensed as incurred.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Loans that the Company originates or purchases that the Company is unable to hold, or intends to sell or otherwise dispose of, in the foreseeable future are classified as held-for-sale and are carried at the lower of amortized cost or fair value less estimated costs to sell.</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Mortgage-Backed Securities: </w:t>
      </w:r>
      <w:r>
        <w:rPr>
          <w:rFonts w:ascii="Times New Roman;serif" w:hAnsi="Times New Roman;serif"/>
          <w:b w:val="false"/>
          <w:color w:val="000000"/>
          <w:sz w:val="20"/>
        </w:rPr>
        <w:t xml:space="preserve">Mortgage-backed securities are classified as held-to-maturity or available-for-sale or accounted for under the fair value option. The Company determines the appropriate classification of its securities at the time they are acquired and evaluates the appropriateness of such classifications at each balance sheet's date. Mortgage-backed securities are classified as held-to-maturity when the Company intends to, and has the ability to, hold until maturity. Held-to-maturity securities are stated at amortized cost on the consolidated balance sheets. The Company’s remaining mortgage-backed securities are classified as either available-for-sale or accounted for under the fair value option and are reported at fair value on the consolidated balance sheets as components of Mortgage-backed securities, at fair value. The Company elected the fair value option for all mortgage-backed securities acquired during the three and six months ended June 30, 2026. Changes in fair value for mortgage-backed securities accounted for under the fair value option are recorded in the consolidated statements of operations as a component of Net change in unrealized gain (loss) on mortgage-backed securities, fair value option. The Company chose to elect the fair value option in order to simplify the accounting treatment for its investment securities. The fair value option provides an option to elect fair value as an alternative measurement for selected financial instruments.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irrevocable unless a new election event occurs. Prior to the quarter ended June 30, 2023, all mortgage-backed securities acquired that were not classified as held-to-maturity were classified as available-for-sale, stated at fair value and the changes in fair value are recorded in other comprehensive income. The Company’s held-to-maturity and available-for-sale securities were subject to CECL (defined below), as discussed below.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Current Expected Credit Loss ("CECL") Reserve: </w:t>
      </w:r>
      <w:r>
        <w:rPr>
          <w:rFonts w:ascii="Times New Roman;serif" w:hAnsi="Times New Roman;serif"/>
          <w:b w:val="false"/>
          <w:color w:val="000000"/>
          <w:sz w:val="20"/>
        </w:rPr>
        <w:t>The CECL model applies to the Company's loans receivable, held-for-investment and its mortgage-backed securities held-to-maturity which are carried at amortized cost, including future funding commitments and accrued interest receivable related to those loans and securities. The Company has elected not to measure an allowance for credit losses on accrued interest receivable (which is classified separately on its consolidated balance sheets), but rather write off in a timely manner by reversing interest income and/or cease accruing interest that would likely be uncollectible.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CECL requires an entity to consider historical loss experience, current conditions, and a reasonable and supportable forecast of the macroeconomic environment. Considering the lack of historical company data related to any realized loan losses since its inception, the Company elected to estimate its general CECL reserve by using a probability-weighted analytical model that considers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likelihood of default and loss-given-default for each individual loan. The credit loss model utilizes historical loss rates derived from a third party commercial real estate loan database with historical loan loss data beginning in 1998. The Company provides specific loan-level inputs which include loan-to-value ("LTV"), principal balances, property type, location, coupon, origination year, term, subordination, expected repayment dates and property net operating income. The Company also considers qualitative and environmental factors, including, but not limited to, reasonable and supportable macroeconomic forecasts, business conditions and trends, concentration of credit and changes in the level of such concentrations. The reasonable and supportable forecast period is followed by an immediate reversion period back to historical loss rates.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loans typically include commitments to fund incremental proceeds to its borrowers over the life of the loan, which future funding commitments are also subject to the CECL model. The CECL reserve related to future loan fundings is recorded as a component of Other liabilities on the consolidated balance sheets. This CECL reserve is estimated using the same process outlined above for outstanding loan balances, and changes in this component of the CECL reserve will similarly impact the Company's consolidated net income.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both the funded and unfunded portions of its loans, the Company considers its internal risk rating of each loan as the primary credit quality indicator underlying the assessment. FS Real Estate Advisor and Rialto perform a quarterly review of the Company's portfolio of loans. In connection with this review, FS Real Estate Advisor and Rialto assess the risk factors of each loan and assign a risk rating based on a variety of factors, including, without limitation, LTV ratio, debt yield, property type, geographic and local market dynamics, physical condition, cash flow volatility, leasing and tenant profile, loan structure and exit plan and project sponsorship. Based on a 5-point scale, the Company's loans are rated "1" through "5," from less risk to greater risk, which ratings are defined as follows:</w:t>
      </w:r>
    </w:p>
    <w:tbl>
      <w:tblPr>
        <w:tblW w:w="6326"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1284"/>
        <w:gridCol w:w="1284"/>
        <w:gridCol w:w="1826"/>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Description</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Very Low Risk</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Low Risk</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Medium Risk</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High Risk/Potential for Loss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Impaired/Loss Likely and/or Foreclosure is Probable</w:t>
            </w:r>
          </w:p>
        </w:tc>
      </w:tr>
    </w:tbl>
    <w:p>
      <w:pPr>
        <w:pStyle w:val="TextBody"/>
        <w:bidi w:val="0"/>
        <w:spacing w:lineRule="auto" w:line="288" w:before="120" w:after="120"/>
        <w:ind w:left="0" w:right="0" w:firstLine="450"/>
        <w:jc w:val="left"/>
        <w:rPr/>
      </w:pPr>
      <w:r>
        <w:rPr>
          <w:rFonts w:ascii="Times New Roman;serif" w:hAnsi="Times New Roman;serif"/>
          <w:b w:val="false"/>
          <w:color w:val="000000"/>
          <w:sz w:val="20"/>
          <w:shd w:fill="FFFFFF" w:val="clear"/>
        </w:rPr>
        <w:t>Impairment is indicated when it is deemed probable that the Company will not be able to collect all amounts due to it pursuant to the contractual terms of the loan. If a loan is determined to be impaired, the Company assigns the loan a risk rating of 5 and</w:t>
      </w:r>
      <w:r>
        <w:rPr>
          <w:color w:val="000000"/>
        </w:rPr>
        <w:t xml:space="preserve"> </w:t>
      </w:r>
      <w:r>
        <w:rPr>
          <w:rFonts w:ascii="Times New Roman;serif" w:hAnsi="Times New Roman;serif"/>
          <w:b w:val="false"/>
          <w:color w:val="000000"/>
          <w:sz w:val="20"/>
        </w:rPr>
        <w:t xml:space="preserve">records the impairment as a specific CECL reserve. For determining a specific CECL reserve, financial instruments are assessed outside of the CECL model on an individual basis. For collateral dependent loans that the Company determines foreclosure of the collateral is probable, the Company assigns the loan a risk rating of 5 and measures the expected losses based on the differences between the fair value of the collateral (less estimated costs to sell the asset if repayment is expected through the sale of the collateral) and the amortized cost basis of the loan as of the measurement date. For these loans, the allowance for expected credit losses may be zero if the fair value of the collateral on the measurement date exceeds the amortized cost basis of the loan. For collateral dependent loans where the Company determines foreclosure is not probable, a practical expedient to estimate expected losses may be applied using the difference between the collateral’s fair value (less estimated costs to sell the asset if repayment is expected through the sale of the collateral) and the amortized cost basis of the loan. </w:t>
      </w:r>
      <w:r>
        <w:rPr>
          <w:rFonts w:ascii="Times New Roman;serif" w:hAnsi="Times New Roman;serif"/>
          <w:b w:val="false"/>
          <w:color w:val="000000"/>
          <w:sz w:val="20"/>
          <w:shd w:fill="FFFFFF" w:val="clear"/>
        </w:rPr>
        <w:t xml:space="preserve">These valuations require significant judgments, which include assumptions regarding capitalization rates, leasing, creditworthiness of major tenants, occupancy rates, availability of financing, exit plan, loan sponsorship, actions of other lenders, and other factors deemed necessary by FS Real Estate Advisor and Rialto. Actual losses, if any, could ultimately differ from these estimates.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Separate provisions of the CECL model apply to the Mortgage-backed securities available-for-sale, which are carried at fair value with unrealized gains and losses reported as a component of Accumulated other comprehensive income (loss). The Company is required to establish an initial credit loss allowance for those available-for-sale securities that are purchased with credit deterioration (“PCD”) by grossing up the amortized cost basis of each security and providing an offsetting credit loss allowance for the difference between expected cash flows and contractual cash flows, both on a present value basis.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a discounted cash flow method to estimate and recognize a credit loss allowance on its available-for-sale securities. The credit loss allowance represents the difference between the security's amortized cost basis and the present value of expected cash flows. The credit loss allowance is limited to the difference between the security's fair value and its amortized cost. Changes in the credit loss allowance are recognized immediately in earnings as a component of Credit loss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Real Estate, Held-for-Investment:</w:t>
      </w:r>
      <w:r>
        <w:rPr>
          <w:color w:val="000000"/>
        </w:rPr>
        <w:t xml:space="preserve"> </w:t>
      </w:r>
      <w:r>
        <w:rPr>
          <w:rFonts w:ascii="Times New Roman;serif" w:hAnsi="Times New Roman;serif"/>
          <w:b w:val="false"/>
          <w:color w:val="000000"/>
          <w:sz w:val="20"/>
        </w:rPr>
        <w:t>The Company receives foreclosed properties in settlement of loans held-for-investment by taking legal title or physical possession of the properties. Foreclosed properties are generally recognized at the time the real estate is received at foreclosure sale or upon execution of a deed in lieu of foreclosure. Foreclosed properties are initially measured at fair value. If the fair value of the property is less than the carrying value of the loan, the difference is recognized within Credit loss expense, net on the Company's consolidated statements of operations and the cumulative reserve on the loan is charged off. A gain may be recognized if the fair value of the property exceeds the carrying value of the loan.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the acquisition of a property, the Company assesses the fair value of acquired tangible and intangible assets (including land, buildings, tenant improvements, above-market and below-market leases, acquired in-place leases, other identified intangible assets and assumed liabilities) and allocates the purchase price to the acquired assets and assumed liabilities. The Company assesses and considers fair value based on estimated cash flow projections that utilize discount and/or capitalization rates that it deems appropriate, as well as other available market information. Estimates of future cash flows are based on several factors including the historical operating results, known and anticipated trends and market and economic conditions. The Company capitalizes acquisition-related costs associated with asset acquisitions.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the tangible assets of an acquired property considers the value of the property as if it were vacant. The Company records acquired in-place lease values based on the Company’s evaluation of the specific characteristics of each tenant’s lease. The Company will record acquired above-market and below-market leases at their fair values which represents the present value of the difference between contractual rents of acquired leases and market rents at the time of the acquisition for the remaining lease term, discounted for tenant credit risks. The Company also considers an allocation of purchase price of other acquired intangibles, including acquired in-place leases that may have a customer relationship intangible value, including (but not limited to) the nature and extent of the existing relationship with the tenants, the tenants’ credit quality and expectations of lease renewals. Based on its acquisitions to date, the Company’s allocation to customer relationship intangible assets has not been material.</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and intangible liabilities are recorded as a component of investment in real estate, held-for-investment on the Company’s consolidated balance sheets. The amortization of acquired above-market, below-market, and in-place leases is recorded as a component of depreciation and amortization, on the Company’s unaudited consolidated statements of operations.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cost of buildings and improvements includes the purchase price of the Company’s properties and any acquisition-related costs, along with any subsequent improvements to such properties. Real estate, held-for-investment properties are generally depreciated on a straight-line basis over the estimated useful lives of the assets as follows:</w:t>
      </w:r>
    </w:p>
    <w:tbl>
      <w:tblPr>
        <w:tblW w:w="6851" w:type="dxa"/>
        <w:jc w:val="center"/>
        <w:tblInd w:w="0" w:type="dxa"/>
        <w:tblLayout w:type="fixed"/>
        <w:tblCellMar>
          <w:top w:w="28" w:type="dxa"/>
          <w:left w:w="28" w:type="dxa"/>
          <w:bottom w:w="28" w:type="dxa"/>
          <w:right w:w="28" w:type="dxa"/>
        </w:tblCellMar>
      </w:tblPr>
      <w:tblGrid>
        <w:gridCol w:w="1027"/>
        <w:gridCol w:w="901"/>
        <w:gridCol w:w="906"/>
        <w:gridCol w:w="109"/>
        <w:gridCol w:w="109"/>
        <w:gridCol w:w="109"/>
        <w:gridCol w:w="1081"/>
        <w:gridCol w:w="1081"/>
        <w:gridCol w:w="1528"/>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Depreciable Life</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to 48 years</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to 10 years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Shorter of estimated useful life or lease term</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 intangibles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Over lease term </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management reviews its real estate, held-for-investment properties for impairment each quarter or when there is an event or change in circumstances that indicates an impaired value. Since the impairment model considers real estate properties to be “long-lived assets to be held and used,” cash flows to determine whether an asset has been impaired are undiscounted. If the Company determines that an impairment has occurred, the affected assets must be reduced to their fair value. During the periods presented, no such impairment occurred.</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Real Estate, Held-for-Sale:</w:t>
      </w:r>
      <w:r>
        <w:rPr>
          <w:color w:val="000000"/>
        </w:rPr>
        <w:t xml:space="preserve"> </w:t>
      </w:r>
      <w:r>
        <w:rPr>
          <w:rFonts w:ascii="Times New Roman;serif" w:hAnsi="Times New Roman;serif"/>
          <w:b w:val="false"/>
          <w:color w:val="000000"/>
          <w:sz w:val="20"/>
        </w:rPr>
        <w:t xml:space="preserve">The Company evaluates its real estate assets, to determine whether such assets should be classified as held-for-sale. Real estate assets are classified as held-for-sale when they meet the criteria under ASC Topic 360, which includes, among other things, that the sale of the asset is probable and the transfer of the asset is expected to qualify for recognition as a completed sale within one year. Once a real estate asset is classified as held-for-sale, depreciation and amortization are suspended and the asset is carried at the lower of the asset’s carrying amount or its fair value less estimated costs to sell.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Fair Value of Financial Instruments:</w:t>
      </w:r>
      <w:r>
        <w:rPr>
          <w:color w:val="000000"/>
        </w:rPr>
        <w:t xml:space="preserve"> </w:t>
      </w:r>
      <w:r>
        <w:rPr>
          <w:rFonts w:ascii="Times New Roman;serif" w:hAnsi="Times New Roman;serif"/>
          <w:b w:val="false"/>
          <w:color w:val="000000"/>
          <w:sz w:val="20"/>
        </w:rPr>
        <w:t>ASC Topic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or ASC Topic 820, defines fair value, establishes a framework for measuring fair value, and requires certain disclosures about fair value measurements under GAAP. Specifically, this guidance defines fair value based on exit price, or the price that would be received upon the sale of an asset or the transfer of a liability in an orderly transaction between market participants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ASC Topic 820 also establishes a fair value hierarchy that prioritizes and ranks the level of market price observability used in measuring financial instruments. Market price observability is affected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in active markets generally will have a higher degree of market price observability and a lesser degree of judgment used in measuring fair value.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measured and reported at fair value are classified and disclosed based on the observability of inputs used in the determination, as follows:</w:t>
      </w:r>
    </w:p>
    <w:p>
      <w:pPr>
        <w:pStyle w:val="TextBody"/>
        <w:bidi w:val="0"/>
        <w:spacing w:lineRule="auto" w:line="288" w:before="0" w:after="60"/>
        <w:ind w:left="0" w:right="0" w:hanging="720"/>
        <w:jc w:val="left"/>
        <w:rPr/>
      </w:pP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Generally includes only unadjusted quoted prices that are available in active markets for identical financial instruments as of the reporting date.</w:t>
      </w:r>
    </w:p>
    <w:p>
      <w:pPr>
        <w:pStyle w:val="TextBody"/>
        <w:bidi w:val="0"/>
        <w:spacing w:lineRule="auto" w:line="288" w:before="0" w:after="60"/>
        <w:ind w:left="0" w:right="0" w:hanging="720"/>
        <w:jc w:val="left"/>
        <w:rPr/>
      </w:pP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Pricing inputs include quoted prices in active markets for similar instruments, quoted prices in less active or inactive markets for identical or similar instruments where multiple price quotes can be obtained, and other observable inputs, such as interest rates, yield curves, credit risks, and default rates.</w:t>
      </w:r>
    </w:p>
    <w:p>
      <w:pPr>
        <w:pStyle w:val="TextBody"/>
        <w:bidi w:val="0"/>
        <w:spacing w:lineRule="auto" w:line="288" w:before="0" w:after="120"/>
        <w:ind w:left="0" w:right="0" w:hanging="720"/>
        <w:jc w:val="left"/>
        <w:rPr/>
      </w:pPr>
      <w:r>
        <w:rPr>
          <w:rFonts w:ascii="Times New Roman;serif" w:hAnsi="Times New Roman;serif"/>
          <w:b w:val="false"/>
          <w:i/>
          <w:color w:val="000000"/>
          <w:sz w:val="20"/>
        </w:rPr>
        <w:t>Level 3</w:t>
      </w:r>
      <w:r>
        <w:rPr>
          <w:rFonts w:ascii="Times New Roman;serif" w:hAnsi="Times New Roman;serif"/>
          <w:b w:val="false"/>
          <w:color w:val="000000"/>
          <w:sz w:val="20"/>
        </w:rPr>
        <w:t>: Pricing inputs are unobservable for the financial instruments and include situations where there is little, if any, market activity for the financial instrument. These inputs require significant judgment or estimation by management or third parties when determining fair value and generally represent anything that does not meet the criteria of Levels 1 and 2.</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estimated value of each asset reported at fair value using Level 3 inputs is determined by an internal committee comprised of members of senior management of FS Real Estate Advisor.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of the Company's assets are reported at fair value either (i) on a recurring basis, as of each quarter-end, or (ii) on a nonrecurring basis, as a result of impairment or other events. The Company generally values its assets recorded at fair value by either (i) discounting expected cash flows based on assumptions regarding the collection of principal and interest and estimated market rates, or (ii) obtaining assessments from third-party dealers. For collateral-dependent loans that are identified as impaired, the Company measures impairment by comparing FS Real Estate Advisor's estimation of fair value of the underlying collateral (less estimated costs to sell the asset if repayment is expected through the sale of the collateral) to the book value of the respective loan. These valuations may require significant judgments, which include assumptions regarding capitalization rates, leasing, creditworthiness of major tenants, occupancy rates, availability of financing, exit plan, loan sponsorship, actions of other lenders, and other factors deemed necessary by FS Real Estate Advisor and Rialto.</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also required by GAAP to disclose fair value information about financial instruments that are not otherwise reported at fair value in the Company's consolidated balance sheets, to the extent it is practicable to estimate a fair value for those instruments. These disclosure requirements exclude certain financial instruments and all non-financial instruments.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methods and assumptions are used to estimate the fair value of financial instruments, for which it is practicable to estimate that value: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Cash and cash equivalents: The carrying amount of cash on deposit and in money market funds approximates fair value.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Restricted cash: The carrying amount of restricted cash approximates fair value.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Loans receivable held-for-investment, net: The fair values for these loans were estimated by FS Real Estate Advisor based on a discounted cash flow methodology taking into consideration factors, including capitalization rates, discount rates, leasing, occupancy rates, availability and cost of financing, exit plan, sponsorship, actions of other lenders, and indications of market value from other market participants.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Mortgage-backed securities, at fair value: The fair values for these investments were based upon prices obtained from third-party pricing providers. The third-party pricing providers develop their pricing based on transaction prices of recent trades for similar financial instruments.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Mortgage-backed securities held-to-maturity: The fair values for these investments were estimated by FS Real Estate Advisor based on a discounted cash flow methodology pursuant to which a discount rate or market yield is used to discount the estimated future cash flows expected to be received from the underlying investment, which include both future principal and interest payments. Significant increases or decreases in the discount rate or market yield would result in a decrease or increase in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Collateralized loan obligations, repurchase agreements payable, credit facilities payable, and mortgage note payable: The fair values for these instruments were estimated based on the rate at which similar credit facilities would have currently been priced.</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Assets of the Consolidated Mortgage Loans and Liabilities of the Consolidated Mortgage Obligations</w:t>
      </w:r>
      <w:r>
        <w:rPr>
          <w:rFonts w:ascii="Times New Roman;serif" w:hAnsi="Times New Roman;serif"/>
          <w:b w:val="false"/>
          <w:color w:val="000000"/>
          <w:sz w:val="20"/>
        </w:rPr>
        <w:t>: The Company separately presents the assets and liabilities of its consolidated securitization loans as individual line items on its consolidated balance sheets. The liabilities of its consolidated securitization loans consist solely of obligations to the bondholders of the related trusts, and are thus presented as a single line item entitled “Mortgage obligations issued by securitization trusts.” The assets of its consolidated securitization loans consist principally of loans. These assets in the aggregate are likewise presented as a single line item entitled “Mortgage loans held in securitization trusts.” The residual difference shown on its unaudited consolidated statements of operations in the line item “Unrealized gain (loss) on mortgage loans and obligations held in securitization trusts” represents the Company's beneficial interest in the mortgage loans. The Company elected the fair value option for initial and subsequent recognition of the assets and liabilities of its consolidated securitization mortgage loans held in securitization trusts and the related commercial mortgage-backed securities ("CMBS") investments. Interest income and interest expense associated with these loans are presented separately on the Company's consolidated statements of operations.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securitization mortgage loan assets as a whole can only be used to settle the obligations of the consolidated mortgage loans. The assets of the Company's securitization mortgage loans are not individually accessible by the bondholders, which creates inherent limitations from a valuation perspective.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securitization mortgage loans in which the Company invests are “static”; that is, no reinvestment is permitted, and there is no active management of the underlying assets. In determining the fair value of the assets and liabilities of the securitization mortgage loans, the Company maximizes the use of observable inputs over unobservable inputs.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consolidated mortgage obligations generally represent bonds that are not owned by the Company directly. The majority of these are either traded in the marketplace or can be analogized to similar securities that are traded in the marketplace. For these liabilities, pricing is considered to be Level 2, where the valuation is based upon quoted prices for similar instruments traded in active markets. The Company generally utilizes third party pricing service providers for valuing these liabilities. In order to determine whether to utilize the valuations provided by third parties, the Company conducts an ongoing evaluation of their valuation methodologies and processes, as well as a review of the individual valuations themselves. In evaluating third party pricing for reasonableness, the Company considers a variety of factors, including market transaction information for the particular bond, market transaction information for bonds within the same trust, market transaction information for similar bonds, the bond’s ratings and the bond’s subordination levels.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minority portion of the Company's consolidated mortgage obligations which consist of unrated or non-investment grade bonds that are not owned by the Company directly, pricing may be either Level 2 or Level 3. If independent third party pricing similar to that noted above is available, the Company considers the valuation to be Level 2. If such third party pricing is not available, the valuation is generated from model-based techniques that use significant unobservable assumptions, and the Company considers the valuation to be Level 3. For mortgage obligations classified as Level 3, valuation is determined based on discounted expected future cash flows which take into consideration expected duration and yields based on market transaction information, ratings, subordination levels, vintage and current market spread. Mortgage obligations may shift between Level 2 and Level 3 of the fair value hierarchy if the significant fair value inputs used to price the mortgage obligations become or cease to be observable.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individual assets of a mortgage loan are inherently incapable of precise measurement given their illiquid nature and the limitations on available information related to these assets. Because the Company's methodology for valuing these assets does not value the individual assets of a mortgage loan, but rather uses the value of the mortgage obligations as an indicator of the fair value of mortgage loan assets as a whole, the Company has determined that its valuations of mortgage loan assets in their entirety should be classified in Level 3 of the fair value hierarchy.</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Deferred Financing Costs: </w:t>
      </w:r>
      <w:r>
        <w:rPr>
          <w:rFonts w:ascii="Times New Roman;serif" w:hAnsi="Times New Roman;serif"/>
          <w:b w:val="false"/>
          <w:color w:val="000000"/>
          <w:sz w:val="20"/>
        </w:rPr>
        <w:t>Deferred financing costs include issuance and other costs related to the Company’s debt obligations. The deferred financing costs related to the Company’s collateralized loan obligations, repurchase agreements, and mortgage note payable are recorded as a reduction in the net book value of the related liability on the Company's consolidated balance sheets. Deferred financing costs related to the Company’s revolving credit facilities and facilities that are undrawn as of the reporting date are recorded as an asset on the Company’s consolidated balance sheets. These costs are amortized as interest expense using the straight-line method over the term of the related obligation, which approximates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Revenue Recognition: </w:t>
      </w:r>
      <w:r>
        <w:rPr>
          <w:rFonts w:ascii="Times New Roman;serif" w:hAnsi="Times New Roman;serif"/>
          <w:b w:val="false"/>
          <w:color w:val="000000"/>
          <w:sz w:val="20"/>
        </w:rPr>
        <w:t>Security transactions are accounted for on the trade date. The Company records interest income from its loans receivable portfolio on an accrual basis to the extent that the Company expects to collect such amounts. The Company does not accrue as a receivable interest or dividends on loans and securities if there is reason to doubt the collectability of such income. Discounts or premiums associated with the investment securities are amortized or accreted into interest income as a yield adjustment on the effective interest method, based on expected cash flows through the expected maturity date of the investment. On at least a quarterly basis, the Company reviews and, if appropriate, makes adjustments to its cash flow projections. The Company records dividend income on the ex-dividend date. Any loan origination fees to which the Company is entitled, loan exit fees, original issue discount and market discount are capitalized and such amounts are amortized as interest income over the respective term of the investment. Upon the prepayment of a loan or security, any unamortized loan origination fees to which the Company is entitled are recorded as fee income. The Company records prepayment premiums on loans and securities as fee income when it receives such amounts.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Loans are considered past due when payments are not made in accordance with the contractual terms. The Company does not accrue interest on loans if it is not probable that payments of such interest will be collected. Unless the loan is both well secured and in the process of collection, loans are placed on non-accrual status when principal or interest is 120 days or more past due or when repayment of interest and principal is, in our judgment, in doubt. Interest receivable deemed uncollectible will be immediately written off by reversing the related interest income. Interest payments received on non-accrual loans are generally recognized as interest income on a cash basis. If a full recovery of principal is doubtful, the cost recovery method is applied whereby any cash received is applied to the outstanding principal balance of the loan. Recognition of interest income on non-performing loans on an accrual basis is resumed when it is probable that the Company will be able to collect amounts due according to the contractual terms. Refer to Note 3 and Note 4 of this document for our disclosure of any investments placed on non-accrual. As of June 30, 2026 and December 31, 2025, the amortized cost of loans on non-accrual status was $322,652 and $219,481, respectively.</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Offering Costs: </w:t>
      </w:r>
      <w:r>
        <w:rPr>
          <w:rFonts w:ascii="Times New Roman;serif" w:hAnsi="Times New Roman;serif"/>
          <w:b w:val="false"/>
          <w:color w:val="000000"/>
          <w:sz w:val="20"/>
        </w:rPr>
        <w:t>Offering costs primarily include, among other things, marketing expenses and printing, legal and due diligence fees and other costs pertaining to the Company’s continuous public offering of shares of its common stock, including the preparation of the registration statement and salaries and direct expenses of FS Real Estate Advisor’s personnel, employees of its respective affiliates and others while engaged in such activities. The Company may reimburse FS Real Estate Advisor and Rialto for any offering expenses that they incurred on the Company's behalf, up to a cap of 0.75% of gross proceeds raised after such time. During the period from November 7, 2016 (Inception) to June 30, 2026, the Company incurred offering costs of $30,879, which were paid on its behalf by Future Standard (see Note 7).</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Income Taxes: </w:t>
      </w:r>
      <w:r>
        <w:rPr>
          <w:rFonts w:ascii="Times New Roman;serif" w:hAnsi="Times New Roman;serif"/>
          <w:b w:val="false"/>
          <w:color w:val="000000"/>
          <w:sz w:val="20"/>
        </w:rPr>
        <w:t>The Company elected to be taxed as a REIT under the Internal Revenue Code of 1986, as amended, or the Code, commencing with its taxable year ended December 31, 2017. In order to maintain its status as a REIT, the Company must meet certain organizational and operational requirements, including a requirement to distribute at least 90% of its annual REIT taxable income to its stockholders. As a REIT, the Company generally will not be subject to federal income tax on income that it distributes to stockholders. If the Company fails to qualify as a REIT in any taxable year, it will be subject to federal income tax on its taxable income at regular corporate income tax rates and generally will not be permitted to qualify for treatment as a REIT for federal income tax purposes for the four taxable years following the year during which qualification is lost unless the Internal Revenue Service grants the Company relief under certain statutory provisions.</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Uncertainty in Income Taxes</w:t>
      </w:r>
      <w:r>
        <w:rPr>
          <w:rFonts w:ascii="Times New Roman;serif" w:hAnsi="Times New Roman;serif"/>
          <w:b w:val="false"/>
          <w:color w:val="000000"/>
          <w:sz w:val="20"/>
        </w:rPr>
        <w:t>: The Company evaluates each of its tax positions to determine if they meet the minimum recognition threshold in connection with accounting for uncertainties in income tax positions taken or expected to be taken for the purposes of measuring and recognizing tax benefits or liabilities in the unaudited consolidated financial statements. Recognition of a tax benefit or liability with respect to an uncertain tax position is required only when the position is “more likely than not” to be sustained assuming examination by taxing authorities. The Company recognizes interest and penalties, if any, related to unrecognized tax liabilities as income tax expense in the unaudited consolidated statements of operations. During the six months ended June 30, 2026 and 2025, the Company did not incur any interest or penalties and none were accrued at June 30, 2026.</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Stockholder Servicing Fees:</w:t>
      </w:r>
      <w:r>
        <w:rPr>
          <w:color w:val="000000"/>
        </w:rPr>
        <w:t xml:space="preserve"> </w:t>
      </w:r>
      <w:r>
        <w:rPr>
          <w:rFonts w:ascii="Times New Roman;serif" w:hAnsi="Times New Roman;serif"/>
          <w:b w:val="false"/>
          <w:color w:val="000000"/>
          <w:sz w:val="20"/>
        </w:rPr>
        <w:t xml:space="preserve">The Company follows the guidance in ASC 405, </w:t>
      </w:r>
      <w:r>
        <w:rPr>
          <w:rFonts w:ascii="Times New Roman;serif" w:hAnsi="Times New Roman;serif"/>
          <w:b w:val="false"/>
          <w:i/>
          <w:color w:val="000000"/>
          <w:sz w:val="20"/>
        </w:rPr>
        <w:t>Liabilities</w:t>
      </w:r>
      <w:r>
        <w:rPr>
          <w:rFonts w:ascii="Times New Roman;serif" w:hAnsi="Times New Roman;serif"/>
          <w:b w:val="false"/>
          <w:color w:val="000000"/>
          <w:sz w:val="20"/>
        </w:rPr>
        <w:t>, when accounting for stockholder servicing fees. The Company will pay stockholder servicing fees over time on its shares of Class T, Class S, Class D and Class M common stock as described in Note 7. The Company records stockholder servicing fees as a reduction to additional paid-in capital and records the related liability in an amount equal to its best estimate of the fees payable in relation to the shares of Class T, Class S, Class D and Class M common stock on the date such shares are issued. The liability will be reduced over time, as the fees are paid to the dealer manager, or adjusted if the fees are no longer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 xml:space="preserve">The restricted stock units grant Class I shares issued to FS Real Estate Advisor and Rialto for payment of the administrative services fee are considered to be participating securities. The impact of these restricted stock units on basic and diluted earnings per common share ("EPS") has been calculated using the two-class method whereby earnings are allocated to the restricted stock units based on dividends declared and the restricted stock units' participation rights in undistributed earnings.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Derivative Instruments</w:t>
      </w:r>
      <w:r>
        <w:rPr>
          <w:rFonts w:ascii="Times New Roman;serif" w:hAnsi="Times New Roman;serif"/>
          <w:b w:val="false"/>
          <w:color w:val="000000"/>
          <w:sz w:val="20"/>
        </w:rPr>
        <w:t>: The Company uses interest rate caps to manage risks from fluctuations in interest rates. The Company has not designated any of these contracts as fair value or cash flow hedges for accounting purposes. The Company records its derivatives on its consolidated balance sheets at fair value and such amounts are included in Other assets. Any changes in the fair value of these derivatives are recorded in earnings.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valuation of the Company's interest rate caps are determined based on assumptions that management believes market participants would use in pricing, using widely accepted valuation techniques including discounted cash flow analysis on the expected cash flows of the derivative. This analysis reflects the contractual terms of the derivative, including the period to maturity, and uses observable market-based inputs, including interest rate curves and implied volatilities. Although the Company has determined that the majority of the inputs used to value its derivatives fall within Level 2 of the fair value hierarchy, the credit valuation adjustments associated with those derivatives utilize Level 3 inputs, such as estimates of current credit spreads, to evaluate the likelihood of default by the Company and its counterparties. However, as of June 30, 2026, the Company assessed the significance of the impact of the credit valuation adjustments on the overall valuation of its derivative positions and determined that the credit valuation adjustments are not significant to the overall valuation of the Company’s derivatives. As a result, the Company has determined that its derivative valuations in their entirety are classified in Level 2 of the fair value hierarchy.</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Recent Accounting Pronouncements:</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or ASU 2024-03,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and interim periods beginning with the first quarter ended March 31, 2028. Early adoption and retrospective application is permitted. The Company is currently assessing the impact of this guidance, however, the Company does not expect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3. Loans Receivable, net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overall statistics for the Company's loans receivable portfolio as of June 30, 2026 and December 31, 2025:</w:t>
      </w:r>
    </w:p>
    <w:tbl>
      <w:tblPr>
        <w:tblW w:w="9115" w:type="dxa"/>
        <w:jc w:val="center"/>
        <w:tblInd w:w="0" w:type="dxa"/>
        <w:tblLayout w:type="fixed"/>
        <w:tblCellMar>
          <w:top w:w="28" w:type="dxa"/>
          <w:left w:w="28" w:type="dxa"/>
          <w:bottom w:w="28" w:type="dxa"/>
          <w:right w:w="28" w:type="dxa"/>
        </w:tblCellMar>
      </w:tblPr>
      <w:tblGrid>
        <w:gridCol w:w="1427"/>
        <w:gridCol w:w="1257"/>
        <w:gridCol w:w="1261"/>
        <w:gridCol w:w="109"/>
        <w:gridCol w:w="109"/>
        <w:gridCol w:w="109"/>
        <w:gridCol w:w="376"/>
        <w:gridCol w:w="1740"/>
        <w:gridCol w:w="194"/>
        <w:gridCol w:w="109"/>
        <w:gridCol w:w="109"/>
        <w:gridCol w:w="109"/>
        <w:gridCol w:w="109"/>
        <w:gridCol w:w="109"/>
        <w:gridCol w:w="281"/>
        <w:gridCol w:w="1299"/>
        <w:gridCol w:w="145"/>
        <w:gridCol w:w="109"/>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8,491,260 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7,845,350 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Unfunded loan commitments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cash coupon</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all-in yield</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maximum maturity (years)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The Company may be required to provide funding when requested by the borrowers in accordance with the terms of the underlying agreements.</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The Company's floating rate loans are expressed as a spread over the relevant benchmark rates, which include Secured Overnight Financing Rate, or SOFR. In addition to cash coupon, all-in yield includes accretion of discount (amortization of premium) and accrual of exit fees. For loans placed on non-accrual, the interest rate used in calculating weighted-average cash coupon and weighted-average all-in yield is 0%.</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As of June 30, 2026 and December 31, 2025, the one-month SOFR rate was 3.65% and 3.69%, respectively.</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Maximum maturity assumes all extension options are exercised by the borrowers, however, loans may be repaid prior to such date.</w:t>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p>
      <w:pPr>
        <w:pStyle w:val="TextBody"/>
        <w:bidi w:val="0"/>
        <w:spacing w:before="120" w:after="283"/>
        <w:ind w:left="0" w:right="0" w:firstLine="45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activity in the Company's loan portfolio was as follows:</w:t>
      </w:r>
    </w:p>
    <w:tbl>
      <w:tblPr>
        <w:tblW w:w="9729" w:type="dxa"/>
        <w:jc w:val="center"/>
        <w:tblInd w:w="0" w:type="dxa"/>
        <w:tblLayout w:type="fixed"/>
        <w:tblCellMar>
          <w:top w:w="28" w:type="dxa"/>
          <w:left w:w="28" w:type="dxa"/>
          <w:bottom w:w="28" w:type="dxa"/>
          <w:right w:w="28" w:type="dxa"/>
        </w:tblCellMar>
      </w:tblPr>
      <w:tblGrid>
        <w:gridCol w:w="1581"/>
        <w:gridCol w:w="1390"/>
        <w:gridCol w:w="1394"/>
        <w:gridCol w:w="109"/>
        <w:gridCol w:w="109"/>
        <w:gridCol w:w="109"/>
        <w:gridCol w:w="371"/>
        <w:gridCol w:w="1716"/>
        <w:gridCol w:w="191"/>
        <w:gridCol w:w="191"/>
        <w:gridCol w:w="191"/>
        <w:gridCol w:w="191"/>
        <w:gridCol w:w="191"/>
        <w:gridCol w:w="109"/>
        <w:gridCol w:w="109"/>
        <w:gridCol w:w="211"/>
        <w:gridCol w:w="976"/>
        <w:gridCol w:w="109"/>
        <w:gridCol w:w="109"/>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1995" w:type="dxa"/>
            <w:gridSpan w:val="9"/>
            <w:tcBorders/>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fundings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repayments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(1,252,866)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fees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and extension fees received on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to investments in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CECL 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60" w:after="12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    Inclusive of $40,676 of amortized cost for a loan modification accounted for as a new loan for GAAP purposes. Effective on March 27, 2026, a new collateral secured loan with a new borrower with a risk rating of 3 was entered into from a previously owned risk rated 3 senior loan with a principal balance of $40,680. As a part of the new agreement, the new borrower agreed to pay the Company an amount equal to $180.</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property type and geographic location of the properties securing the loans in the Company's loans receivable, held-for-investment portfolio as of June 30, 2026 and December 31, 2025:</w:t>
      </w:r>
    </w:p>
    <w:tbl>
      <w:tblPr>
        <w:tblW w:w="8273" w:type="dxa"/>
        <w:jc w:val="center"/>
        <w:tblInd w:w="0" w:type="dxa"/>
        <w:tblLayout w:type="fixed"/>
        <w:tblCellMar>
          <w:top w:w="28" w:type="dxa"/>
          <w:left w:w="28" w:type="dxa"/>
          <w:bottom w:w="28" w:type="dxa"/>
          <w:right w:w="28" w:type="dxa"/>
        </w:tblCellMar>
      </w:tblPr>
      <w:tblGrid>
        <w:gridCol w:w="695"/>
        <w:gridCol w:w="611"/>
        <w:gridCol w:w="614"/>
        <w:gridCol w:w="109"/>
        <w:gridCol w:w="109"/>
        <w:gridCol w:w="109"/>
        <w:gridCol w:w="231"/>
        <w:gridCol w:w="1074"/>
        <w:gridCol w:w="119"/>
        <w:gridCol w:w="119"/>
        <w:gridCol w:w="119"/>
        <w:gridCol w:w="119"/>
        <w:gridCol w:w="234"/>
        <w:gridCol w:w="234"/>
        <w:gridCol w:w="583"/>
        <w:gridCol w:w="109"/>
        <w:gridCol w:w="109"/>
        <w:gridCol w:w="109"/>
        <w:gridCol w:w="232"/>
        <w:gridCol w:w="1073"/>
        <w:gridCol w:w="119"/>
        <w:gridCol w:w="109"/>
        <w:gridCol w:w="109"/>
        <w:gridCol w:w="109"/>
        <w:gridCol w:w="233"/>
        <w:gridCol w:w="233"/>
        <w:gridCol w:w="65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4,233,156 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4,250,284 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tbl>
      <w:tblPr>
        <w:tblW w:w="8452" w:type="dxa"/>
        <w:jc w:val="left"/>
        <w:tblInd w:w="0" w:type="dxa"/>
        <w:tblLayout w:type="fixed"/>
        <w:tblCellMar>
          <w:top w:w="28" w:type="dxa"/>
          <w:left w:w="28" w:type="dxa"/>
          <w:bottom w:w="28" w:type="dxa"/>
          <w:right w:w="28" w:type="dxa"/>
        </w:tblCellMar>
      </w:tblPr>
      <w:tblGrid>
        <w:gridCol w:w="761"/>
        <w:gridCol w:w="667"/>
        <w:gridCol w:w="671"/>
        <w:gridCol w:w="109"/>
        <w:gridCol w:w="109"/>
        <w:gridCol w:w="109"/>
        <w:gridCol w:w="231"/>
        <w:gridCol w:w="1074"/>
        <w:gridCol w:w="119"/>
        <w:gridCol w:w="119"/>
        <w:gridCol w:w="119"/>
        <w:gridCol w:w="119"/>
        <w:gridCol w:w="234"/>
        <w:gridCol w:w="234"/>
        <w:gridCol w:w="583"/>
        <w:gridCol w:w="109"/>
        <w:gridCol w:w="109"/>
        <w:gridCol w:w="109"/>
        <w:gridCol w:w="232"/>
        <w:gridCol w:w="1073"/>
        <w:gridCol w:w="119"/>
        <w:gridCol w:w="109"/>
        <w:gridCol w:w="109"/>
        <w:gridCol w:w="109"/>
        <w:gridCol w:w="233"/>
        <w:gridCol w:w="233"/>
        <w:gridCol w:w="650"/>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Geographic Location</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3,348,502 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3,576,258 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2,334,701 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1,797,634 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1,387,114 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1,443,603 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60" w:after="12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    As defined by the United States Department of Commerce, Bureau of the Census.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Loan Risk Rating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further described in Note 2, FS Real Estate Advisor and Rialto assess the risk factors of each loan and assign a risk rating based on a variety of factors, including, without limitation, LTV ratio, debt yield, property type, geographic and local market dynamics, physical condition, cash flow volatility, leasing and tenant profile, loan structure and exit plan and project sponsorship. Based on a 5-point scale, the Company's loans are rated "1" through "5", from less risk to greater risk, which ratings are defined in Note 2.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allocates the net book value of the Company's loans receivable, held-for-investment portfolio based on the Company's internal risk ratings:</w:t>
      </w:r>
    </w:p>
    <w:tbl>
      <w:tblPr>
        <w:tblW w:w="10205" w:type="dxa"/>
        <w:jc w:val="left"/>
        <w:tblInd w:w="0" w:type="dxa"/>
        <w:tblLayout w:type="fixed"/>
        <w:tblCellMar>
          <w:top w:w="28" w:type="dxa"/>
          <w:left w:w="28" w:type="dxa"/>
          <w:bottom w:w="28" w:type="dxa"/>
          <w:right w:w="28" w:type="dxa"/>
        </w:tblCellMar>
      </w:tblPr>
      <w:tblGrid>
        <w:gridCol w:w="603"/>
        <w:gridCol w:w="489"/>
        <w:gridCol w:w="398"/>
        <w:gridCol w:w="109"/>
        <w:gridCol w:w="109"/>
        <w:gridCol w:w="109"/>
        <w:gridCol w:w="322"/>
        <w:gridCol w:w="322"/>
        <w:gridCol w:w="323"/>
        <w:gridCol w:w="109"/>
        <w:gridCol w:w="109"/>
        <w:gridCol w:w="109"/>
        <w:gridCol w:w="215"/>
        <w:gridCol w:w="997"/>
        <w:gridCol w:w="111"/>
        <w:gridCol w:w="109"/>
        <w:gridCol w:w="109"/>
        <w:gridCol w:w="109"/>
        <w:gridCol w:w="234"/>
        <w:gridCol w:w="234"/>
        <w:gridCol w:w="583"/>
        <w:gridCol w:w="109"/>
        <w:gridCol w:w="109"/>
        <w:gridCol w:w="109"/>
        <w:gridCol w:w="322"/>
        <w:gridCol w:w="322"/>
        <w:gridCol w:w="323"/>
        <w:gridCol w:w="109"/>
        <w:gridCol w:w="109"/>
        <w:gridCol w:w="109"/>
        <w:gridCol w:w="215"/>
        <w:gridCol w:w="997"/>
        <w:gridCol w:w="111"/>
        <w:gridCol w:w="109"/>
        <w:gridCol w:w="109"/>
        <w:gridCol w:w="109"/>
        <w:gridCol w:w="233"/>
        <w:gridCol w:w="233"/>
        <w:gridCol w:w="656"/>
      </w:tblGrid>
      <w:tr>
        <w:trPr/>
        <w:tc>
          <w:tcPr>
            <w:tcW w:w="60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7,338,492 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7,229,226 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primary credit quality indicator is its risk ratings, which are further discussed in Note 2. The following tables present the net book value of its loans receivable, held-for-investment portfolio as of June 30, 2026 and December 31, 2025, respectively, by year of origination and risk rating: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tbl>
      <w:tblPr>
        <w:tblW w:w="12112" w:type="dxa"/>
        <w:jc w:val="left"/>
        <w:tblInd w:w="0" w:type="dxa"/>
        <w:tblLayout w:type="fixed"/>
        <w:tblCellMar>
          <w:top w:w="28" w:type="dxa"/>
          <w:left w:w="28" w:type="dxa"/>
          <w:bottom w:w="28" w:type="dxa"/>
          <w:right w:w="28" w:type="dxa"/>
        </w:tblCellMar>
      </w:tblPr>
      <w:tblGrid>
        <w:gridCol w:w="446"/>
        <w:gridCol w:w="339"/>
        <w:gridCol w:w="221"/>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9" w:type="dxa"/>
            <w:gridSpan w:val="3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Net Book Value of Loans Receivable by Year of Origination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 (Unaudited)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9" w:type="dxa"/>
            <w:gridSpan w:val="39"/>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62" w:type="dxa"/>
        <w:jc w:val="left"/>
        <w:tblInd w:w="0" w:type="dxa"/>
        <w:tblLayout w:type="fixed"/>
        <w:tblCellMar>
          <w:top w:w="28" w:type="dxa"/>
          <w:left w:w="28" w:type="dxa"/>
          <w:bottom w:w="28" w:type="dxa"/>
          <w:right w:w="28" w:type="dxa"/>
        </w:tblCellMar>
      </w:tblPr>
      <w:tblGrid>
        <w:gridCol w:w="446"/>
        <w:gridCol w:w="339"/>
        <w:gridCol w:w="221"/>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9" w:type="dxa"/>
            <w:gridSpan w:val="3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Book Value of Loans Receivable by Year of Origination </w:t>
              <w:br/>
              <w:t>December 31,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9" w:type="dxa"/>
            <w:gridSpan w:val="39"/>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Current Expected Credit Loss Reserve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CECL reserve required under GAAP reflects the Company's current estimate of potential credit losses related to the loans included in its consolidated balance sheets. The general CECL reserve is measured on a collective basis wherever similar risk characteristics exist within a pool of similar assets. The Company has identified senior loans and mezzanine loans as pools within its loans receivable portfolio. Refer to Note 2 for further discussion of the Company's CECL reserve.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on the changes in CECL reserve for funded loans by investment pool for the three and six months ended June 30, 2026 and 2025, recorded in loans receivable, held-for-investment on the consolidated balance sheets:</w:t>
      </w:r>
    </w:p>
    <w:tbl>
      <w:tblPr>
        <w:tblW w:w="8546" w:type="dxa"/>
        <w:jc w:val="left"/>
        <w:tblInd w:w="0" w:type="dxa"/>
        <w:tblLayout w:type="fixed"/>
        <w:tblCellMar>
          <w:top w:w="28" w:type="dxa"/>
          <w:left w:w="28" w:type="dxa"/>
          <w:bottom w:w="28" w:type="dxa"/>
          <w:right w:w="28" w:type="dxa"/>
        </w:tblCellMar>
      </w:tblPr>
      <w:tblGrid>
        <w:gridCol w:w="1324"/>
        <w:gridCol w:w="1166"/>
        <w:gridCol w:w="1169"/>
        <w:gridCol w:w="109"/>
        <w:gridCol w:w="109"/>
        <w:gridCol w:w="109"/>
        <w:gridCol w:w="249"/>
        <w:gridCol w:w="853"/>
        <w:gridCol w:w="128"/>
        <w:gridCol w:w="109"/>
        <w:gridCol w:w="109"/>
        <w:gridCol w:w="109"/>
        <w:gridCol w:w="322"/>
        <w:gridCol w:w="1102"/>
        <w:gridCol w:w="166"/>
        <w:gridCol w:w="109"/>
        <w:gridCol w:w="109"/>
        <w:gridCol w:w="109"/>
        <w:gridCol w:w="211"/>
        <w:gridCol w:w="72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 Company's specific CECL reserve balance was $0 and $0,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risk rated 5 loans as of June 30, 2026, which were analyzed for specific CECL reserves:</w:t>
      </w:r>
    </w:p>
    <w:tbl>
      <w:tblPr>
        <w:tblW w:w="10205" w:type="dxa"/>
        <w:jc w:val="left"/>
        <w:tblInd w:w="0" w:type="dxa"/>
        <w:tblLayout w:type="fixed"/>
        <w:tblCellMar>
          <w:top w:w="28" w:type="dxa"/>
          <w:left w:w="28" w:type="dxa"/>
          <w:bottom w:w="28" w:type="dxa"/>
          <w:right w:w="28" w:type="dxa"/>
        </w:tblCellMar>
      </w:tblPr>
      <w:tblGrid>
        <w:gridCol w:w="313"/>
        <w:gridCol w:w="225"/>
        <w:gridCol w:w="227"/>
        <w:gridCol w:w="109"/>
        <w:gridCol w:w="109"/>
        <w:gridCol w:w="109"/>
        <w:gridCol w:w="407"/>
        <w:gridCol w:w="407"/>
        <w:gridCol w:w="408"/>
        <w:gridCol w:w="109"/>
        <w:gridCol w:w="109"/>
        <w:gridCol w:w="109"/>
        <w:gridCol w:w="531"/>
        <w:gridCol w:w="407"/>
        <w:gridCol w:w="373"/>
        <w:gridCol w:w="109"/>
        <w:gridCol w:w="109"/>
        <w:gridCol w:w="109"/>
        <w:gridCol w:w="449"/>
        <w:gridCol w:w="379"/>
        <w:gridCol w:w="332"/>
        <w:gridCol w:w="109"/>
        <w:gridCol w:w="109"/>
        <w:gridCol w:w="109"/>
        <w:gridCol w:w="231"/>
        <w:gridCol w:w="789"/>
        <w:gridCol w:w="119"/>
        <w:gridCol w:w="109"/>
        <w:gridCol w:w="109"/>
        <w:gridCol w:w="109"/>
        <w:gridCol w:w="370"/>
        <w:gridCol w:w="370"/>
        <w:gridCol w:w="371"/>
        <w:gridCol w:w="109"/>
        <w:gridCol w:w="109"/>
        <w:gridCol w:w="109"/>
        <w:gridCol w:w="446"/>
        <w:gridCol w:w="446"/>
        <w:gridCol w:w="643"/>
      </w:tblGrid>
      <w:tr>
        <w:trPr/>
        <w:tc>
          <w:tcPr>
            <w:tcW w:w="3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Specific CECL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Non-accrual Status</w:t>
            </w:r>
          </w:p>
        </w:tc>
      </w:tr>
      <w:tr>
        <w:trPr/>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September 2024</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Gaithersburg,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January 2025</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January 2026</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Mezz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May 2025</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Sandy Springs,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Arlington,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Roswell,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June 2026</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risk rated 5 loans were determined to be collateral dependent as of June 30, 2026. Loans are assigned a risk rating of 5 when an impairment or a loss is likely and/or foreclosure is probable. The allowance for expected credit losses for loans when foreclosure is probable may be zero if the fair value of the collateral on the measurement date exceeds the amortized cost basis of the loan. The Company estimated expected losses based on the fair value of the collateral of the loan, which was determined by applying a capitalization rate between 5.50% and 9.25%, and a discount rate between 7.50% and 10.50%. </w:t>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aging analysis for the Company's portfolio of loans held-for-investment on amortized cost basis:</w:t>
      </w:r>
    </w:p>
    <w:tbl>
      <w:tblPr>
        <w:tblW w:w="10205" w:type="dxa"/>
        <w:jc w:val="left"/>
        <w:tblInd w:w="0" w:type="dxa"/>
        <w:tblLayout w:type="fixed"/>
        <w:tblCellMar>
          <w:top w:w="28" w:type="dxa"/>
          <w:left w:w="28" w:type="dxa"/>
          <w:bottom w:w="28" w:type="dxa"/>
          <w:right w:w="28" w:type="dxa"/>
        </w:tblCellMar>
      </w:tblPr>
      <w:tblGrid>
        <w:gridCol w:w="557"/>
        <w:gridCol w:w="351"/>
        <w:gridCol w:w="281"/>
        <w:gridCol w:w="109"/>
        <w:gridCol w:w="109"/>
        <w:gridCol w:w="109"/>
        <w:gridCol w:w="308"/>
        <w:gridCol w:w="1426"/>
        <w:gridCol w:w="159"/>
        <w:gridCol w:w="109"/>
        <w:gridCol w:w="109"/>
        <w:gridCol w:w="109"/>
        <w:gridCol w:w="246"/>
        <w:gridCol w:w="963"/>
        <w:gridCol w:w="127"/>
        <w:gridCol w:w="109"/>
        <w:gridCol w:w="109"/>
        <w:gridCol w:w="109"/>
        <w:gridCol w:w="246"/>
        <w:gridCol w:w="963"/>
        <w:gridCol w:w="127"/>
        <w:gridCol w:w="109"/>
        <w:gridCol w:w="109"/>
        <w:gridCol w:w="109"/>
        <w:gridCol w:w="270"/>
        <w:gridCol w:w="1060"/>
        <w:gridCol w:w="139"/>
        <w:gridCol w:w="109"/>
        <w:gridCol w:w="109"/>
        <w:gridCol w:w="109"/>
        <w:gridCol w:w="211"/>
        <w:gridCol w:w="976"/>
        <w:gridCol w:w="160"/>
      </w:tblGrid>
      <w:tr>
        <w:trPr/>
        <w:tc>
          <w:tcPr>
            <w:tcW w:w="55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or Less Than 30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60-89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Days or More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June 30, 2026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7,470,467 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511,874 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8,485,341 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December 31, 2025</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7,344,683 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437,091 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7,836,214 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w:t>
      </w:r>
    </w:p>
    <w:p>
      <w:pPr>
        <w:pStyle w:val="TextBody"/>
        <w:bidi w:val="0"/>
        <w:spacing w:lineRule="auto" w:line="288" w:before="12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As of June 30, 2026, the total amortized cost basis for loans with interest income payments of 90 days or more past due that were not placed on non-accrual status was $189,223.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As of December 31, 2025, the total amortized cost basis for loans with interest income payments of 90 days or more past due that were not placed on non-accrual status was $308,392.</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Current Expected Credit Loss Reserve for Unfunded Loan Commitments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unfunded commitments of $379,938. The expected credit losses over the contractual period of its loans are subject to the obligation to extend credit through its unfunded loan commitments. See Note 2 for further discussion of the CECL reserve related to the Company's unfunded loan commitments. </w:t>
      </w:r>
    </w:p>
    <w:p>
      <w:pPr>
        <w:pStyle w:val="TextBody"/>
        <w:bidi w:val="0"/>
        <w:spacing w:lineRule="auto" w:line="25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on the changes in CECL reserve for unfunded loan commitments by investment pool for the three and six months ended June 30, 2026 and 2025, recorded in other liabilities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tbl>
      <w:tblPr>
        <w:tblW w:w="8566" w:type="dxa"/>
        <w:jc w:val="left"/>
        <w:tblInd w:w="0" w:type="dxa"/>
        <w:tblLayout w:type="fixed"/>
        <w:tblCellMar>
          <w:top w:w="28" w:type="dxa"/>
          <w:left w:w="28" w:type="dxa"/>
          <w:bottom w:w="28" w:type="dxa"/>
          <w:right w:w="28" w:type="dxa"/>
        </w:tblCellMar>
      </w:tblPr>
      <w:tblGrid>
        <w:gridCol w:w="1335"/>
        <w:gridCol w:w="1176"/>
        <w:gridCol w:w="1179"/>
        <w:gridCol w:w="109"/>
        <w:gridCol w:w="109"/>
        <w:gridCol w:w="109"/>
        <w:gridCol w:w="277"/>
        <w:gridCol w:w="811"/>
        <w:gridCol w:w="142"/>
        <w:gridCol w:w="115"/>
        <w:gridCol w:w="115"/>
        <w:gridCol w:w="115"/>
        <w:gridCol w:w="461"/>
        <w:gridCol w:w="888"/>
        <w:gridCol w:w="241"/>
        <w:gridCol w:w="115"/>
        <w:gridCol w:w="115"/>
        <w:gridCol w:w="115"/>
        <w:gridCol w:w="223"/>
        <w:gridCol w:w="653"/>
        <w:gridCol w:w="163"/>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 Commitments CECL Reserve</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Loans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Loans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Loans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Loans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4. Mortgage Backed Securities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Mortgage-Backed Securities, at Fair Value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 or CMBS, classified as available-for-sale are reported at fair value on the consolidated balance sheets with changes in fair value recorded in other comprehensive income. CMBS accounted for under the fair value option are reported at fair value on the consolidated balance sheets with changes in fair value recorded in the consolidated statements of operations as a component of Net change in unrealized gain (loss) on mortgage-backed securities, fair value option.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various attributes of the Company's investments in CMBS reported at fair value as of June 30, 2026 and December 31, 2025, respectively:</w:t>
      </w:r>
    </w:p>
    <w:tbl>
      <w:tblPr>
        <w:tblW w:w="11805" w:type="dxa"/>
        <w:jc w:val="left"/>
        <w:tblInd w:w="0" w:type="dxa"/>
        <w:tblLayout w:type="fixed"/>
        <w:tblCellMar>
          <w:top w:w="28" w:type="dxa"/>
          <w:left w:w="28" w:type="dxa"/>
          <w:bottom w:w="28" w:type="dxa"/>
          <w:right w:w="28" w:type="dxa"/>
        </w:tblCellMar>
      </w:tblPr>
      <w:tblGrid>
        <w:gridCol w:w="606"/>
        <w:gridCol w:w="334"/>
        <w:gridCol w:w="336"/>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466"/>
        <w:gridCol w:w="109"/>
        <w:gridCol w:w="109"/>
        <w:gridCol w:w="109"/>
        <w:gridCol w:w="109"/>
        <w:gridCol w:w="211"/>
        <w:gridCol w:w="631"/>
        <w:gridCol w:w="109"/>
        <w:gridCol w:w="109"/>
        <w:gridCol w:w="109"/>
        <w:gridCol w:w="109"/>
        <w:gridCol w:w="211"/>
        <w:gridCol w:w="826"/>
        <w:gridCol w:w="109"/>
        <w:gridCol w:w="109"/>
        <w:gridCol w:w="109"/>
        <w:gridCol w:w="109"/>
        <w:gridCol w:w="255"/>
        <w:gridCol w:w="255"/>
        <w:gridCol w:w="256"/>
        <w:gridCol w:w="109"/>
        <w:gridCol w:w="109"/>
        <w:gridCol w:w="109"/>
        <w:gridCol w:w="268"/>
        <w:gridCol w:w="268"/>
        <w:gridCol w:w="380"/>
      </w:tblGrid>
      <w:tr>
        <w:trPr/>
        <w:tc>
          <w:tcPr>
            <w:tcW w:w="6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Face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(years)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9.35%</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fair value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5.63%</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9.26%</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fair value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6.10%</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bl>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    Calculated using the one-month SOFR rate of 3.65% as of June 30, 2026.</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    Calculated using the one-month SOFR rate of 3.69% as of December 31, 2025.</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two CMBS, classified as available-for-sale on non-accrual status with a total amortized cost of $24,763 and $24,953, respectively. All future interest collections will be accounted for under the cost recovery method.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a discounted cash flow method to estimate and recognize an allowance for its available-for sale securities. The following table provides details on the changes in allowance for credit losses for available-for sale securities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4. Mortgage Backed Securities (continued)</w:t>
      </w:r>
    </w:p>
    <w:p>
      <w:pPr>
        <w:pStyle w:val="TextBody"/>
        <w:bidi w:val="0"/>
        <w:spacing w:before="0" w:after="0"/>
        <w:jc w:val="left"/>
        <w:rPr/>
      </w:pPr>
      <w:r>
        <w:rPr/>
      </w:r>
    </w:p>
    <w:tbl>
      <w:tblPr>
        <w:tblW w:w="9461" w:type="dxa"/>
        <w:jc w:val="left"/>
        <w:tblInd w:w="0" w:type="dxa"/>
        <w:tblLayout w:type="fixed"/>
        <w:tblCellMar>
          <w:top w:w="28" w:type="dxa"/>
          <w:left w:w="28" w:type="dxa"/>
          <w:bottom w:w="28" w:type="dxa"/>
          <w:right w:w="28" w:type="dxa"/>
        </w:tblCellMar>
      </w:tblPr>
      <w:tblGrid>
        <w:gridCol w:w="2257"/>
        <w:gridCol w:w="1985"/>
        <w:gridCol w:w="1997"/>
        <w:gridCol w:w="109"/>
        <w:gridCol w:w="109"/>
        <w:gridCol w:w="109"/>
        <w:gridCol w:w="526"/>
        <w:gridCol w:w="1985"/>
        <w:gridCol w:w="384"/>
      </w:tblGrid>
      <w:tr>
        <w:trPr/>
        <w:tc>
          <w:tcPr>
            <w:tcW w:w="225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credit losses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(23,895)</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on securities for which credit losses were not previously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on securities with previously recorded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credit losses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w:t>
            </w:r>
          </w:p>
        </w:tc>
        <w:tc>
          <w:tcPr>
            <w:tcW w:w="3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gross unrealized losses and estimated fair value of any available-for-sale securities for which an allowance for credit losses has not been recorded that were in an unrealized loss position as of June 30, 2026 and December 31, 2025, respectively:</w:t>
      </w:r>
    </w:p>
    <w:tbl>
      <w:tblPr>
        <w:tblW w:w="10205" w:type="dxa"/>
        <w:jc w:val="left"/>
        <w:tblInd w:w="0" w:type="dxa"/>
        <w:tblLayout w:type="fixed"/>
        <w:tblCellMar>
          <w:top w:w="28" w:type="dxa"/>
          <w:left w:w="28" w:type="dxa"/>
          <w:bottom w:w="28" w:type="dxa"/>
          <w:right w:w="28" w:type="dxa"/>
        </w:tblCellMar>
      </w:tblPr>
      <w:tblGrid>
        <w:gridCol w:w="679"/>
        <w:gridCol w:w="460"/>
        <w:gridCol w:w="462"/>
        <w:gridCol w:w="109"/>
        <w:gridCol w:w="109"/>
        <w:gridCol w:w="109"/>
        <w:gridCol w:w="504"/>
        <w:gridCol w:w="971"/>
        <w:gridCol w:w="263"/>
        <w:gridCol w:w="109"/>
        <w:gridCol w:w="109"/>
        <w:gridCol w:w="109"/>
        <w:gridCol w:w="388"/>
        <w:gridCol w:w="1327"/>
        <w:gridCol w:w="200"/>
        <w:gridCol w:w="109"/>
        <w:gridCol w:w="109"/>
        <w:gridCol w:w="109"/>
        <w:gridCol w:w="504"/>
        <w:gridCol w:w="971"/>
        <w:gridCol w:w="263"/>
        <w:gridCol w:w="109"/>
        <w:gridCol w:w="109"/>
        <w:gridCol w:w="109"/>
        <w:gridCol w:w="387"/>
        <w:gridCol w:w="1229"/>
        <w:gridCol w:w="289"/>
      </w:tblGrid>
      <w:tr>
        <w:trPr/>
        <w:tc>
          <w:tcPr>
            <w:tcW w:w="6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with a loss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with a loss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with a loss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with a loss greater than 12 months</w:t>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were two and three securities, respectively, with unrealized losses reflected in the table above. After evaluating the securities and recording adjustments for credit losses, the Company concluded that the remaining unrealized losses reflected above were non-credit related and would be recovered from the securities’ estimated future cash flows. The Company considered a number of factors in reaching this conclusion, including that it did not intend to sell the securities, it was not considered more likely than not that the Company would be forced to sell the securities prior to recovering its amortized cost, and there were no material credit events that would have caused the Company to otherwise conclude that it would not recover the cost of the securities. </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Mortgage-Backed Securities, Held-to-Maturity</w:t>
      </w:r>
    </w:p>
    <w:p>
      <w:pPr>
        <w:pStyle w:val="TextBody"/>
        <w:bidi w:val="0"/>
        <w:spacing w:lineRule="auto" w:line="288" w:before="12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 investments in held-to-maturity CMBS, the table below summarizes various attributes of the Company's investments in held-to-maturity CMBS as of December 31, 2025:</w:t>
      </w:r>
    </w:p>
    <w:tbl>
      <w:tblPr>
        <w:tblW w:w="10205" w:type="dxa"/>
        <w:jc w:val="left"/>
        <w:tblInd w:w="0" w:type="dxa"/>
        <w:tblLayout w:type="fixed"/>
        <w:tblCellMar>
          <w:top w:w="28" w:type="dxa"/>
          <w:left w:w="28" w:type="dxa"/>
          <w:bottom w:w="28" w:type="dxa"/>
          <w:right w:w="28" w:type="dxa"/>
        </w:tblCellMar>
      </w:tblPr>
      <w:tblGrid>
        <w:gridCol w:w="472"/>
        <w:gridCol w:w="415"/>
        <w:gridCol w:w="417"/>
        <w:gridCol w:w="109"/>
        <w:gridCol w:w="109"/>
        <w:gridCol w:w="109"/>
        <w:gridCol w:w="217"/>
        <w:gridCol w:w="742"/>
        <w:gridCol w:w="112"/>
        <w:gridCol w:w="109"/>
        <w:gridCol w:w="109"/>
        <w:gridCol w:w="109"/>
        <w:gridCol w:w="310"/>
        <w:gridCol w:w="554"/>
        <w:gridCol w:w="161"/>
        <w:gridCol w:w="109"/>
        <w:gridCol w:w="109"/>
        <w:gridCol w:w="109"/>
        <w:gridCol w:w="217"/>
        <w:gridCol w:w="743"/>
        <w:gridCol w:w="112"/>
        <w:gridCol w:w="109"/>
        <w:gridCol w:w="109"/>
        <w:gridCol w:w="109"/>
        <w:gridCol w:w="388"/>
        <w:gridCol w:w="748"/>
        <w:gridCol w:w="202"/>
        <w:gridCol w:w="109"/>
        <w:gridCol w:w="109"/>
        <w:gridCol w:w="109"/>
        <w:gridCol w:w="353"/>
        <w:gridCol w:w="805"/>
        <w:gridCol w:w="182"/>
        <w:gridCol w:w="109"/>
        <w:gridCol w:w="109"/>
        <w:gridCol w:w="109"/>
        <w:gridCol w:w="211"/>
        <w:gridCol w:w="721"/>
        <w:gridCol w:w="161"/>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Loss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Unrecognized Holding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Unrecognized Holding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on the changes in CECL reserve for held-to-maturity CMBS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4. Mortgage Backed Securities (continued)</w:t>
      </w:r>
    </w:p>
    <w:p>
      <w:pPr>
        <w:pStyle w:val="TextBody"/>
        <w:bidi w:val="0"/>
        <w:spacing w:before="0" w:after="0"/>
        <w:jc w:val="left"/>
        <w:rPr/>
      </w:pPr>
      <w:r>
        <w:rPr/>
      </w:r>
    </w:p>
    <w:tbl>
      <w:tblPr>
        <w:tblW w:w="4638" w:type="dxa"/>
        <w:jc w:val="left"/>
        <w:tblInd w:w="0" w:type="dxa"/>
        <w:tblLayout w:type="fixed"/>
        <w:tblCellMar>
          <w:top w:w="28" w:type="dxa"/>
          <w:left w:w="28" w:type="dxa"/>
          <w:bottom w:w="28" w:type="dxa"/>
          <w:right w:w="28" w:type="dxa"/>
        </w:tblCellMar>
      </w:tblPr>
      <w:tblGrid>
        <w:gridCol w:w="1259"/>
        <w:gridCol w:w="1109"/>
        <w:gridCol w:w="1112"/>
        <w:gridCol w:w="109"/>
        <w:gridCol w:w="109"/>
        <w:gridCol w:w="109"/>
        <w:gridCol w:w="211"/>
        <w:gridCol w:w="46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no investments in held-to-maturity CMBS, the table below summarizes the maturities of the Company's investments in held-to-maturity CMBS as of December 31, 2025: </w:t>
      </w:r>
    </w:p>
    <w:tbl>
      <w:tblPr>
        <w:tblW w:w="9882" w:type="dxa"/>
        <w:jc w:val="left"/>
        <w:tblInd w:w="0" w:type="dxa"/>
        <w:tblLayout w:type="fixed"/>
        <w:tblCellMar>
          <w:top w:w="28" w:type="dxa"/>
          <w:left w:w="28" w:type="dxa"/>
          <w:bottom w:w="28" w:type="dxa"/>
          <w:right w:w="28" w:type="dxa"/>
        </w:tblCellMar>
      </w:tblPr>
      <w:tblGrid>
        <w:gridCol w:w="761"/>
        <w:gridCol w:w="668"/>
        <w:gridCol w:w="671"/>
        <w:gridCol w:w="109"/>
        <w:gridCol w:w="109"/>
        <w:gridCol w:w="109"/>
        <w:gridCol w:w="211"/>
        <w:gridCol w:w="721"/>
        <w:gridCol w:w="109"/>
        <w:gridCol w:w="109"/>
        <w:gridCol w:w="109"/>
        <w:gridCol w:w="109"/>
        <w:gridCol w:w="431"/>
        <w:gridCol w:w="831"/>
        <w:gridCol w:w="223"/>
        <w:gridCol w:w="109"/>
        <w:gridCol w:w="109"/>
        <w:gridCol w:w="109"/>
        <w:gridCol w:w="211"/>
        <w:gridCol w:w="721"/>
        <w:gridCol w:w="109"/>
        <w:gridCol w:w="109"/>
        <w:gridCol w:w="109"/>
        <w:gridCol w:w="109"/>
        <w:gridCol w:w="257"/>
        <w:gridCol w:w="495"/>
        <w:gridCol w:w="133"/>
        <w:gridCol w:w="109"/>
        <w:gridCol w:w="109"/>
        <w:gridCol w:w="109"/>
        <w:gridCol w:w="464"/>
        <w:gridCol w:w="893"/>
        <w:gridCol w:w="338"/>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5. Real Estate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in real estate, held-for-investment, consisted of the following as of June 30, 2026 and December 31, 2025:</w:t>
      </w:r>
    </w:p>
    <w:tbl>
      <w:tblPr>
        <w:tblW w:w="8588" w:type="dxa"/>
        <w:jc w:val="left"/>
        <w:tblInd w:w="0" w:type="dxa"/>
        <w:tblLayout w:type="fixed"/>
        <w:tblCellMar>
          <w:top w:w="28" w:type="dxa"/>
          <w:left w:w="28" w:type="dxa"/>
          <w:bottom w:w="28" w:type="dxa"/>
          <w:right w:w="28" w:type="dxa"/>
        </w:tblCellMar>
      </w:tblPr>
      <w:tblGrid>
        <w:gridCol w:w="1396"/>
        <w:gridCol w:w="1226"/>
        <w:gridCol w:w="1233"/>
        <w:gridCol w:w="109"/>
        <w:gridCol w:w="109"/>
        <w:gridCol w:w="109"/>
        <w:gridCol w:w="425"/>
        <w:gridCol w:w="1665"/>
        <w:gridCol w:w="219"/>
        <w:gridCol w:w="109"/>
        <w:gridCol w:w="109"/>
        <w:gridCol w:w="109"/>
        <w:gridCol w:w="313"/>
        <w:gridCol w:w="1227"/>
        <w:gridCol w:w="230"/>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402,161 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577,749 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470,101 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514,424 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423,363 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810"/>
        <w:jc w:val="left"/>
        <w:rPr/>
      </w:pPr>
      <w:r>
        <w:rPr/>
      </w:r>
    </w:p>
    <w:p>
      <w:pPr>
        <w:pStyle w:val="TextBody"/>
        <w:bidi w:val="0"/>
        <w:spacing w:before="120" w:after="120"/>
        <w:ind w:left="0" w:right="0" w:hanging="810"/>
        <w:jc w:val="left"/>
        <w:rPr/>
      </w:pPr>
      <w:r>
        <w:rPr/>
      </w:r>
    </w:p>
    <w:p>
      <w:pPr>
        <w:pStyle w:val="TextBody"/>
        <w:bidi w:val="0"/>
        <w:spacing w:lineRule="auto" w:line="288" w:before="120" w:after="120"/>
        <w:ind w:left="0" w:right="0" w:hanging="810"/>
        <w:jc w:val="left"/>
        <w:rPr>
          <w:rFonts w:ascii="Times New Roman;serif" w:hAnsi="Times New Roman;serif"/>
          <w:b w:val="false"/>
          <w:color w:val="231F20"/>
          <w:sz w:val="20"/>
        </w:rPr>
      </w:pPr>
      <w:r>
        <w:rPr>
          <w:rFonts w:ascii="Times New Roman;serif" w:hAnsi="Times New Roman;serif"/>
          <w:b w:val="false"/>
          <w:color w:val="231F20"/>
          <w:sz w:val="20"/>
        </w:rPr>
        <w:t>The following table details the Company's future amortization of intangible assets for each of the next five years and thereafter:</w:t>
      </w:r>
    </w:p>
    <w:tbl>
      <w:tblPr>
        <w:tblW w:w="3147" w:type="dxa"/>
        <w:jc w:val="left"/>
        <w:tblInd w:w="0" w:type="dxa"/>
        <w:tblLayout w:type="fixed"/>
        <w:tblCellMar>
          <w:top w:w="28" w:type="dxa"/>
          <w:left w:w="28" w:type="dxa"/>
          <w:bottom w:w="28" w:type="dxa"/>
          <w:right w:w="28" w:type="dxa"/>
        </w:tblCellMar>
      </w:tblPr>
      <w:tblGrid>
        <w:gridCol w:w="553"/>
        <w:gridCol w:w="486"/>
        <w:gridCol w:w="490"/>
        <w:gridCol w:w="109"/>
        <w:gridCol w:w="109"/>
        <w:gridCol w:w="109"/>
        <w:gridCol w:w="250"/>
        <w:gridCol w:w="857"/>
        <w:gridCol w:w="18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5. Real Estate (continued)</w: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future minimum lease payments to be collected under non-cancelable operating leases, excluding tenant reimbursements of expenses:</w:t>
      </w:r>
    </w:p>
    <w:tbl>
      <w:tblPr>
        <w:tblW w:w="4436" w:type="dxa"/>
        <w:jc w:val="left"/>
        <w:tblInd w:w="0" w:type="dxa"/>
        <w:tblLayout w:type="fixed"/>
        <w:tblCellMar>
          <w:top w:w="28" w:type="dxa"/>
          <w:left w:w="28" w:type="dxa"/>
          <w:bottom w:w="28" w:type="dxa"/>
          <w:right w:w="28" w:type="dxa"/>
        </w:tblCellMar>
      </w:tblPr>
      <w:tblGrid>
        <w:gridCol w:w="553"/>
        <w:gridCol w:w="486"/>
        <w:gridCol w:w="490"/>
        <w:gridCol w:w="109"/>
        <w:gridCol w:w="109"/>
        <w:gridCol w:w="109"/>
        <w:gridCol w:w="457"/>
        <w:gridCol w:w="1790"/>
        <w:gridCol w:w="333"/>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Contractual Lease Payments</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103,859 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45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 Held-for-Sale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in real estate, held-for-sale as of June 30, 2026, included three multifamily properties located in Antioch, TN, Doraville, GA, and Philadelphia, PA with an aggregate carrying value of $116,851. Depreciation and amortization are suspended for these properties and the assets are carried at the lower of the asset’s carrying amount or fair value less estimated costs to sell.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determined that an investment in real estate previously classified as held-for-sale no longer met the criteria for held</w:t>
        <w:noBreakHyphen/>
        <w:t>for</w:t>
        <w:noBreakHyphen/>
        <w:t>sale accounting due to the Company’s revised disposition strategy. Accordingly, the property was reclassified to held-for-investment and measured at the lower of its carrying amount prior to held</w:t>
        <w:noBreakHyphen/>
        <w:t>for</w:t>
        <w:noBreakHyphen/>
        <w:t>sale classification, adjusted for depreciation that would have been recognized, or its fair value at the reclassification date. The resulting carrying amount did not give rise to an impairment loss during the period. Depreciation and amortization expense related to the property resumed prospectively upon reclassification. The value of the asset immediately following reclassification to held-for-investment was $99,634. The remeasurement upon reclassification included a reduction of $6,320 related to depreciation and amortization that would have been recognized had the property been classified as held-for-investment since acquisition. This adjustment was recorded within depreciation and amortization expense within the Consolidated Income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w:t>
      </w:r>
    </w:p>
    <w:p>
      <w:pPr>
        <w:pStyle w:val="TextBody"/>
        <w:bidi w:val="0"/>
        <w:spacing w:lineRule="auto" w:line="288" w:before="12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summary information with respect to the Company's outstanding financing arrangements as of June 30, 2026 and December 31, 2025. </w:t>
      </w:r>
    </w:p>
    <w:tbl>
      <w:tblPr>
        <w:tblW w:w="10205" w:type="dxa"/>
        <w:jc w:val="center"/>
        <w:tblInd w:w="0" w:type="dxa"/>
        <w:tblLayout w:type="fixed"/>
        <w:tblCellMar>
          <w:top w:w="28" w:type="dxa"/>
          <w:left w:w="28" w:type="dxa"/>
          <w:bottom w:w="28" w:type="dxa"/>
          <w:right w:w="28" w:type="dxa"/>
        </w:tblCellMar>
      </w:tblPr>
      <w:tblGrid>
        <w:gridCol w:w="471"/>
        <w:gridCol w:w="413"/>
        <w:gridCol w:w="416"/>
        <w:gridCol w:w="109"/>
        <w:gridCol w:w="109"/>
        <w:gridCol w:w="109"/>
        <w:gridCol w:w="324"/>
        <w:gridCol w:w="324"/>
        <w:gridCol w:w="326"/>
        <w:gridCol w:w="109"/>
        <w:gridCol w:w="109"/>
        <w:gridCol w:w="109"/>
        <w:gridCol w:w="207"/>
        <w:gridCol w:w="923"/>
        <w:gridCol w:w="115"/>
        <w:gridCol w:w="109"/>
        <w:gridCol w:w="109"/>
        <w:gridCol w:w="109"/>
        <w:gridCol w:w="201"/>
        <w:gridCol w:w="894"/>
        <w:gridCol w:w="111"/>
        <w:gridCol w:w="109"/>
        <w:gridCol w:w="109"/>
        <w:gridCol w:w="109"/>
        <w:gridCol w:w="342"/>
        <w:gridCol w:w="288"/>
        <w:gridCol w:w="289"/>
        <w:gridCol w:w="109"/>
        <w:gridCol w:w="109"/>
        <w:gridCol w:w="109"/>
        <w:gridCol w:w="216"/>
        <w:gridCol w:w="963"/>
        <w:gridCol w:w="120"/>
        <w:gridCol w:w="109"/>
        <w:gridCol w:w="109"/>
        <w:gridCol w:w="109"/>
        <w:gridCol w:w="207"/>
        <w:gridCol w:w="920"/>
        <w:gridCol w:w="173"/>
      </w:tblGrid>
      <w:tr>
        <w:trPr/>
        <w:tc>
          <w:tcPr>
            <w:tcW w:w="4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 (Unaudited)</w:t>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Weighted Average Spread</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Amount Outstanding</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 of 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 Collateral</w:t>
            </w:r>
          </w:p>
        </w:tc>
      </w:tr>
      <w:tr>
        <w:trPr/>
        <w:tc>
          <w:tcPr>
            <w:tcW w:w="1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Collateralized Loan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2021-FL2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+2.00%</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5,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2021-FL3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+1.82%</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4,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712,407 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2024-FL9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+1.96%</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21, 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858,389 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857,492 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2025-FL10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+1.59%</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890,237 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19, 2042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936,407 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2026-FL11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+1.61%</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20, 2044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1,034,384 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3,335,244 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3,976,366 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3,963,970 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WF-1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+1.60%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GS-1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+1.77%</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+1.50%</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MS-1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+1.47%</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9,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RBC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+0.87%</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NTX-1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+1.28%</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29,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BMO-1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+1.60%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17,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Lucid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WF-2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+2.00%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Blue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+1.60%</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17,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CB-1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+1.91%</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9,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+1.95%</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620,457 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+1.35%</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19,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Citi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2,248,570 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2,675,439 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2,985,748 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2,977,399 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MM-1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+2.05%</w:t>
            </w: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965,914 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17,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1,344,430 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1,352,348 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Barclays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1,140,914 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759,086 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1,344,430 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1,352,348 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Mortgage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++2.15%</w:t>
            </w: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July 9, 2026</w:t>
            </w:r>
            <w:r>
              <w:rPr>
                <w:rFonts w:ascii="Times New Roman;serif" w:hAnsi="Times New Roman;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6,849,428 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3,436,525 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8,453,879 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8,478,717 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The rates are expressed over the relevant floating benchmark rates, which include Term SOFR and SOFR Average (compounded average of SOFR over a rolling 30-day period).</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(2)    The amount outstanding under the facilities approximates their fair value. </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Term SOFR or SOFR Average (compounded average of SOFR over a rolling 30-day period), subject to a 0.00% floor.</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Benchmark rate is subject to a 0.00% floor. SOFR benchmark rate is selected with respect to a transaction as set forth in the related transaction confirmation for the underlying transaction.</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(5)    Term SOFR is subject to a 0.00% floor. GS-1 and Goldman Sachs may mutually agree on rates outside this range or a different floor on an asset by asset basis.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(6)     Borrowings under the RBC Facility consists of one or more floating and fixed rate transactions. Fixed rate transactions are reflected as a spread over the relevant floating benchmark rate.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(7)    Term SOFR is subject to a 0.00% floor.</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(8)    Borrowings under the Barclays Facility bear interest, at the Company's election, at either a base rate plus a spread of 1.25% per annum or one-, three- or six-month Term SOFR plus a spread of 2.25% per annum and a credit spread adjustment of 0.10% per annum.</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(9)    In July 2026, the Company extended the mortgage loan one year to July 9,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 (continued)</w:t>
      </w:r>
    </w:p>
    <w:tbl>
      <w:tblPr>
        <w:tblW w:w="10205" w:type="dxa"/>
        <w:jc w:val="left"/>
        <w:tblInd w:w="0" w:type="dxa"/>
        <w:tblLayout w:type="fixed"/>
        <w:tblCellMar>
          <w:top w:w="28" w:type="dxa"/>
          <w:left w:w="28" w:type="dxa"/>
          <w:bottom w:w="28" w:type="dxa"/>
          <w:right w:w="28" w:type="dxa"/>
        </w:tblCellMar>
      </w:tblPr>
      <w:tblGrid>
        <w:gridCol w:w="468"/>
        <w:gridCol w:w="410"/>
        <w:gridCol w:w="414"/>
        <w:gridCol w:w="109"/>
        <w:gridCol w:w="109"/>
        <w:gridCol w:w="109"/>
        <w:gridCol w:w="335"/>
        <w:gridCol w:w="335"/>
        <w:gridCol w:w="336"/>
        <w:gridCol w:w="109"/>
        <w:gridCol w:w="109"/>
        <w:gridCol w:w="109"/>
        <w:gridCol w:w="207"/>
        <w:gridCol w:w="919"/>
        <w:gridCol w:w="115"/>
        <w:gridCol w:w="109"/>
        <w:gridCol w:w="109"/>
        <w:gridCol w:w="109"/>
        <w:gridCol w:w="200"/>
        <w:gridCol w:w="893"/>
        <w:gridCol w:w="111"/>
        <w:gridCol w:w="109"/>
        <w:gridCol w:w="109"/>
        <w:gridCol w:w="109"/>
        <w:gridCol w:w="341"/>
        <w:gridCol w:w="286"/>
        <w:gridCol w:w="287"/>
        <w:gridCol w:w="109"/>
        <w:gridCol w:w="109"/>
        <w:gridCol w:w="109"/>
        <w:gridCol w:w="215"/>
        <w:gridCol w:w="957"/>
        <w:gridCol w:w="119"/>
        <w:gridCol w:w="109"/>
        <w:gridCol w:w="109"/>
        <w:gridCol w:w="109"/>
        <w:gridCol w:w="206"/>
        <w:gridCol w:w="917"/>
        <w:gridCol w:w="172"/>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Weighted Average Interest Rate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Amount Outstanding</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 of 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 Collateral</w:t>
            </w:r>
          </w:p>
        </w:tc>
      </w:tr>
      <w:tr>
        <w:trPr/>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Collateralized Loan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2021-FL2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+1.88%</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5,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486,756 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2021-FL3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+1.81%</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524,403 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4,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727,133 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2024-FL9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+1.96%</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21, 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2025-FL10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+1.59%</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890,237 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19, 2042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965,475 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965,065 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2,524,778 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2,985,985 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2,983,282 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WF-1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+1.63%</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377,446 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GS-1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+1.90%</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436,343 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+1.62%</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MS-1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+1.55%</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9,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RBC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+0.91%</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NTX-1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+1.30%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29,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BMO-1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+1.57%</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16,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Lucid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WF-2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+2.50%</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Blue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+1.60%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17,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CB-1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+1.93%</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9,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900,789 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891,874 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+1.95%</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572,217 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+1.34%</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Citi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2,671,716 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1,899,732 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3,465,815 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3,458,323 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Revolving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MM-1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+2.05%</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968,776 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531,224 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17,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1,254,839 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1,252,040 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Barclays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+2.35%</w:t>
            </w: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1,063,776 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836,224 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1,254,839 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1,252,040 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Mortgage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+2.15%</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6,384,970 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2,737,956 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7,855,722 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7,878,645 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The rates are expressed over the relevant floating benchmark rates, which include Term SOFR and SOFR Average (compounded average of SOFR over a rolling 30-day period).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The amount outstanding under the facilities approximates their fair value.</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Term SOFR or SOFR Average (compounded average of SOFR over a rolling 30-day period), subject to a 0.00% floor.</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Benchmark rate is subject to a 0.00% floor. SOFR benchmark rate is selected with respect to a transaction as set forth in the related transaction confirmation for the underlying transaction.</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(5)    Term SOFR is subject to a 0.00% floor. GS-1 and Goldman Sachs may mutually agree on rates outside this range or a different floor on an asset by asset basis.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(6)     Borrowings under the RBC Facility consists of one or more floating and fixed rate transactions. Fixed rate transactions are reflected as a spread over the relevant floating benchmark rate.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(7)    Term SOFR is subject to a 0.00% floor.</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(8)    Borrowings under the Barclays Facility bear interest, at the Company's election, at either a base rate plus a spread of 1.25% per annum or one-, three- or six-month Term SOFR plus a spread of 2.25% per annum and a credit spread adjustment of 0.10% per annum.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average borrowings and weighted average interest rate, including the effect of non-usage fees, for the six months ended June 30, 2026 were $6,514,371 and 5.52%, respectively. The Company's average borrowings and weighted average interest rate, including the effect of non-usage fees, for the year ended December 31, 2025 were $5,827,732 and 6.24%,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its financing arrangements, the Company has made certain representations and warranties and is required to comply with various covenants, reporting requirements and other customary requirements for similar financing arrangements. The Company was in compliance with all covenants required by its financing arrangements as of June 30, 2026 and December 31,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Maturities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requires the amount outstanding on debt obligations to be paid down before the financing arrangement's respective maturity date. The following table sets forth the Company's repayment schedule for secured financings outstanding as of June 30, 2026 based on the maturity date of each financing arrangement: </w:t>
      </w:r>
    </w:p>
    <w:tbl>
      <w:tblPr>
        <w:tblW w:w="10205"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300"/>
        <w:gridCol w:w="1391"/>
        <w:gridCol w:w="156"/>
        <w:gridCol w:w="109"/>
        <w:gridCol w:w="109"/>
        <w:gridCol w:w="109"/>
        <w:gridCol w:w="254"/>
        <w:gridCol w:w="1175"/>
        <w:gridCol w:w="131"/>
        <w:gridCol w:w="109"/>
        <w:gridCol w:w="109"/>
        <w:gridCol w:w="109"/>
        <w:gridCol w:w="266"/>
        <w:gridCol w:w="1231"/>
        <w:gridCol w:w="137"/>
        <w:gridCol w:w="109"/>
        <w:gridCol w:w="109"/>
        <w:gridCol w:w="109"/>
        <w:gridCol w:w="227"/>
        <w:gridCol w:w="892"/>
        <w:gridCol w:w="117"/>
        <w:gridCol w:w="109"/>
        <w:gridCol w:w="109"/>
        <w:gridCol w:w="109"/>
        <w:gridCol w:w="211"/>
        <w:gridCol w:w="976"/>
        <w:gridCol w:w="16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Collateralized Loan Obligations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Repurchase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Revolving Credit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Mortgage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1,138,799 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1,958,684 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3,335,244 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2,248,570 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1,140,914 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6,849,428 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The allocation of repayments under the Company's collateralized loan obligations is based on the maturity date of each agreement, or the maximum maturity date assuming all extension options are exercised by the borrower if the reinvestment period has expired.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Collateralized Loan Obligations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financed certain pools of loans through collateralized loan obligations, which include 2021-FL2, 2021-FL3, 2024-FL9, 2025-FL10 and 2026-FL11, or collectively, the CLOs. The following table outlines the number of loans, including partial loans, and the principal balance of the collateralized pool of interests for each CLO: </w:t>
      </w:r>
    </w:p>
    <w:tbl>
      <w:tblPr>
        <w:tblW w:w="5353" w:type="dxa"/>
        <w:jc w:val="left"/>
        <w:tblInd w:w="0" w:type="dxa"/>
        <w:tblLayout w:type="fixed"/>
        <w:tblCellMar>
          <w:top w:w="28" w:type="dxa"/>
          <w:left w:w="28" w:type="dxa"/>
          <w:bottom w:w="28" w:type="dxa"/>
          <w:right w:w="28" w:type="dxa"/>
        </w:tblCellMar>
      </w:tblPr>
      <w:tblGrid>
        <w:gridCol w:w="560"/>
        <w:gridCol w:w="491"/>
        <w:gridCol w:w="494"/>
        <w:gridCol w:w="109"/>
        <w:gridCol w:w="109"/>
        <w:gridCol w:w="109"/>
        <w:gridCol w:w="374"/>
        <w:gridCol w:w="374"/>
        <w:gridCol w:w="376"/>
        <w:gridCol w:w="154"/>
        <w:gridCol w:w="154"/>
        <w:gridCol w:w="154"/>
        <w:gridCol w:w="298"/>
        <w:gridCol w:w="1380"/>
        <w:gridCol w:w="217"/>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 (Unaudited)</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Collateral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Count</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Balance</w:t>
            </w:r>
          </w:p>
        </w:tc>
      </w:tr>
      <w:tr>
        <w:trPr/>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2021-FL2</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338,999 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2021-FL3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712,448 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2024-FL9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858,499 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2025-FL10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937,094 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2026-FL11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1,034,653 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3,881,693 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As of June 30, 2026 2021-FL2 held full ownership of three investments in real estate for a total carrying value of $95,317.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financing costs and discounts related to the collateralization of the CLO notes are amortized to interest expense over the remaining life of the loans. The following table outlines the net book value of the CLOs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 (continued)</w:t>
      </w:r>
    </w:p>
    <w:tbl>
      <w:tblPr>
        <w:tblW w:w="6440" w:type="dxa"/>
        <w:jc w:val="left"/>
        <w:tblInd w:w="0" w:type="dxa"/>
        <w:tblLayout w:type="fixed"/>
        <w:tblCellMar>
          <w:top w:w="28" w:type="dxa"/>
          <w:left w:w="28" w:type="dxa"/>
          <w:bottom w:w="28" w:type="dxa"/>
          <w:right w:w="28" w:type="dxa"/>
        </w:tblCellMar>
      </w:tblPr>
      <w:tblGrid>
        <w:gridCol w:w="1140"/>
        <w:gridCol w:w="998"/>
        <w:gridCol w:w="1011"/>
        <w:gridCol w:w="109"/>
        <w:gridCol w:w="109"/>
        <w:gridCol w:w="109"/>
        <w:gridCol w:w="211"/>
        <w:gridCol w:w="976"/>
        <w:gridCol w:w="109"/>
        <w:gridCol w:w="109"/>
        <w:gridCol w:w="109"/>
        <w:gridCol w:w="109"/>
        <w:gridCol w:w="211"/>
        <w:gridCol w:w="97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3,135,910 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Repurchase Agreements</w:t>
      </w:r>
    </w:p>
    <w:p>
      <w:pPr>
        <w:pStyle w:val="TextBody"/>
        <w:bidi w:val="0"/>
        <w:spacing w:lineRule="auto" w:line="26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and maintains in effect fourteen repurchase facilities. The Company, through direct or indirect wholly owned subsidiaries, entered into repurchase agreements with Wells Fargo (the “WF-1 Facility and WF-2 Facility”), Goldman Sachs (the “GS-1 Facility”), Royal Bank of Canada (the “RBC Facility”), Barclays Bank PLC (the “BB-1 Facility" and "Finance Blue Facility”), Citibank N.A. (the "CB-1 Facility"), Morgan Stanley Bank, N.A. (the “MS-1 Facility”), Natixis, New York Branch (the “NTX-1 Facility”), Bank of Montreal (the "BMO-1 Facility"), Lucid Prime Fund ( the "Lucid Facility"), JP Morgan Chase Bank, N.A. (the JP-1 Facility”), Capital One, N.A. (the “CO-1 Facility”), and CitiGroup Global Markets (the "Citi Facility"). The Company uses repurchase facilities for multiple purposes, including, but not limited to, (i) financing the acquisition and origination of (a) real estate loans or senior controlling participation interests in such loans, (b) pari passu participation interests in mortgage loans and (c) mezzanine loans, and (ii) repurchase transactions of securities and financial instruments. Each repurchase facility is subject to certain representations, warranties, covenants, events of default and indemnities unique to each facility but customary for agreements of this type. Further, the Company has entered into guarantees with respect to each of the repurchase facilities in which the Company guarantees obligations of the facility. Each transaction under each repurchase facility has its own specific terms, such as identification of the assets subject to the transaction, sale price, repurchase price and rate.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deferred financing costs in connection with each repurchase facility, which costs are being amortized to interest expense over the life of that repurchase facility. The following table outlines the net book value of the Company's repurchase facilities on its consolidated balance sheets.</w:t>
      </w:r>
    </w:p>
    <w:tbl>
      <w:tblPr>
        <w:tblW w:w="6440" w:type="dxa"/>
        <w:jc w:val="left"/>
        <w:tblInd w:w="0" w:type="dxa"/>
        <w:tblLayout w:type="fixed"/>
        <w:tblCellMar>
          <w:top w:w="28" w:type="dxa"/>
          <w:left w:w="28" w:type="dxa"/>
          <w:bottom w:w="28" w:type="dxa"/>
          <w:right w:w="28" w:type="dxa"/>
        </w:tblCellMar>
      </w:tblPr>
      <w:tblGrid>
        <w:gridCol w:w="1140"/>
        <w:gridCol w:w="998"/>
        <w:gridCol w:w="1011"/>
        <w:gridCol w:w="109"/>
        <w:gridCol w:w="109"/>
        <w:gridCol w:w="109"/>
        <w:gridCol w:w="211"/>
        <w:gridCol w:w="976"/>
        <w:gridCol w:w="109"/>
        <w:gridCol w:w="109"/>
        <w:gridCol w:w="109"/>
        <w:gridCol w:w="109"/>
        <w:gridCol w:w="211"/>
        <w:gridCol w:w="97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1,787,524 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Facilities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and maintains in effect, two revolving credit facilities, the Barclays Facility and the MM-1 Facility. The Barclays Facility is utilized for purposes of financing the operating expenses and general corporate purposes of the Company and its subsidiaries. The MM-1 Facility is utilized for the purposes of financing the acquisition and origination of commercial mortgage loan assets meeting specified eligibility criteria and concentration limits, paying transaction costs and funding distributions to FS CREIT Finance Holdings, LLC (and ultimately to the Company).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incurred deferred financing costs in connection with each revolving credit facility, which costs are being amortized to interest expense over the life of that facility. The following table details the net book value of the Company's revolving credit facilities on its consolidated balance sheets.</w:t>
      </w:r>
    </w:p>
    <w:tbl>
      <w:tblPr>
        <w:tblW w:w="6290" w:type="dxa"/>
        <w:jc w:val="left"/>
        <w:tblInd w:w="0" w:type="dxa"/>
        <w:tblLayout w:type="fixed"/>
        <w:tblCellMar>
          <w:top w:w="28" w:type="dxa"/>
          <w:left w:w="28" w:type="dxa"/>
          <w:bottom w:w="28" w:type="dxa"/>
          <w:right w:w="28" w:type="dxa"/>
        </w:tblCellMar>
      </w:tblPr>
      <w:tblGrid>
        <w:gridCol w:w="1140"/>
        <w:gridCol w:w="998"/>
        <w:gridCol w:w="1011"/>
        <w:gridCol w:w="109"/>
        <w:gridCol w:w="109"/>
        <w:gridCol w:w="109"/>
        <w:gridCol w:w="211"/>
        <w:gridCol w:w="976"/>
        <w:gridCol w:w="109"/>
        <w:gridCol w:w="109"/>
        <w:gridCol w:w="109"/>
        <w:gridCol w:w="109"/>
        <w:gridCol w:w="211"/>
        <w:gridCol w:w="82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Mortgage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23, 2022, FS CREIT 555 Aviation LLC, an indirect wholly-owned subsidiary of the Company, entered into a mortgage loan related to its purchase of a commercial real estate asset. The Company incurred deferred financing costs, which are being amortized to interest expense over the life of the facility. The following table details the net book value of the Company's mortgage loan on its consolidated balance sheets.</w:t>
      </w:r>
    </w:p>
    <w:tbl>
      <w:tblPr>
        <w:tblW w:w="6140" w:type="dxa"/>
        <w:jc w:val="left"/>
        <w:tblInd w:w="0" w:type="dxa"/>
        <w:tblLayout w:type="fixed"/>
        <w:tblCellMar>
          <w:top w:w="28" w:type="dxa"/>
          <w:left w:w="28" w:type="dxa"/>
          <w:bottom w:w="28" w:type="dxa"/>
          <w:right w:w="28" w:type="dxa"/>
        </w:tblCellMar>
      </w:tblPr>
      <w:tblGrid>
        <w:gridCol w:w="1140"/>
        <w:gridCol w:w="998"/>
        <w:gridCol w:w="1011"/>
        <w:gridCol w:w="109"/>
        <w:gridCol w:w="109"/>
        <w:gridCol w:w="109"/>
        <w:gridCol w:w="211"/>
        <w:gridCol w:w="826"/>
        <w:gridCol w:w="109"/>
        <w:gridCol w:w="109"/>
        <w:gridCol w:w="109"/>
        <w:gridCol w:w="109"/>
        <w:gridCol w:w="211"/>
        <w:gridCol w:w="82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Note 7. Related Party Transactions</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Compensation of FS Real Estate Advisor, Rialto, and the Dealer Manager</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Base Management Fee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fifth amended and restated advisory agreement dated as of November 13, 2025 (the "Advisory Agreement"), FS Real Estate Advisor is entitled to a base management fee equal to 1.25% of the NAV for the Company's Class T, Class S, Class D, Class M and Class I shares, payable quarterly in arrears. The payment of all or any portion of the base management fee accrued with respect to any quarter may be deferred by FS Real Estate Advisor, without interest, and may be taken in any such other quarter as FS Real Estate Advisor may determine. In calculating the Company's base management fee, the Company will use its NAV before giving effect to accruals for such fee, the performance fee, the administrative services fee, stockholder servicing fees or distributions payable on its shares. The base management fee is a class-specific expense. No base management fee is paid on the Company's Class F or Class Y shares.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Performance Fee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FS Real Estate Advisor is also entitled to the performance fee calculated and payable quarterly in arrears in an amount equal to 10.0% of the Company's Core Earnings (as defined below) for the immediately preceding quarter, subject to a hurdle rate, expressed as a rate of return on average adjusted capital, equal to 1.625% per quarter, or an annualized hurdle rate of 6.5%. As a result, FS Real Estate Advisor does not earn a performance fee for any quarter until the Company's Core Earnings for such quarter exceed the hurdle rate of 1.625%. For purposes of the performance fee, “adjusted capital” means cumulative net proceeds generated from sales of the Company's common stock other than Class F common stock (including proceeds from the Company's distribution reinvestment plan) reduced for distributions from non-liquidating dispositions of the Company's investments paid to stockholders and amounts paid for share repurchases pursuant to the Company's share repurchase plan. Once the Company's Core Earnings in any quarter exceed the hurdle rate, FS Real Estate Advisor will be entitled to a “catch-up” fee equal to the amount of Core Earnings in excess of the hurdle rate, until the Company's Core Earnings for such quarter equal 1.806%, or 7.222% annually, of adjusted capital. Thereafter, FS Real Estate Advisor is entitled to receive 10.0% of the Company's Core Earnings.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purposes of calculating the performance fee, “Core Earnings” means: the net income (loss) attributable to stockholders of Class Y, Class T, Class S, Class D, Class M and Class I shares, computed in accordance with GAAP (provided that net income (loss) attributable to Class Y stockholders shall be reduced by an amount equal to the base management fee that would have been paid if Class Y shares were subject to such fee), including realized gains (losses) not otherwise included in GAAP net income (loss) and excluding (i) non-cash equity compensation expense, (ii) the performance fee, (iii) depreciation and amortization, (iv) any unrealized gains or losses or other similar non-cash items that are included in net income for the applicable reporting period, regardless of whether such items are included in other comprehensive income or loss, or in net income, and (v) one-time events pursuant to changes in GAAP and certain material non-cash income or expense items, in each case after discussions between FS Real Estate Advisor and the Company's independent directors and approved by a majority of the Company's independent directors. The performance fee is a class-specific expense. No performance fee is paid on the Company's Class F shares.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Method of Payment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Advisory Agreement, the base management fee and performance fee may be paid, at FS Real Estate Advisor’s election, in (i) cash, (ii) Class I shares, (iii) performance-contingent rights Class I share awards, or Class I PCRs, or (iv) any combination of cash, Class I shares or Class I PCRs.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Class I PCR agreement entered into between the Company, FS Real Estate Advisor and Rialto, or the Adviser Entities, the PCR Agreement, management and performance fees may be payable to the Adviser Entities in the form of Class I PCRs to the extent that distributions paid to stockholders in the applicable fiscal quarter exceed the Company’s Adjusted Core Earnings. “Adjusted Core Earnings” means: the net income (loss) attributable to stockholders, computed in accordance with GAAP, including (i) realized gains (losses) not otherwise included in GAAP net income (loss), (ii) stockholder servicing fees, and (iii) reimbursements for organization and offering expenses, and excluding (A) non-cash equity compensation expense, (B) non-cash equity based administration fees, (C) depreciation and amortization, (D) any unrealized gains or losses or other similar non-cash items that are included in net income for the applicable reporting period, regardless of whether such items are included in other comprehensive income or loss, or in net income, and (E) one-time events pursuant to changes in GAAP and certain material non-cash income or expense items. Thereafter, Class I PCRs may become issuable in the form of Class I shares upon the achievement of the following conditions in any fiscal quarter following the initial issuance of the Class I PCRs, together, the Performance Conditions: (a) Adjusted Core Earnings for the quarter exceed distributions paid to stockholders during such quarter (such difference, the “Excess Distributable Income”) and (b) the annualized distribution yield on the Class I Shares (measured over such quarter) is at least at the yield target determined by management given then-current market conditions, the Yield Target. The initial Yield Target will be a 6.0% annualized yield on the Class I shares.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the last day of any fiscal quarter in which the Company achieves the Performance Conditions (the “Performance Achievement Date”), the Company will issue to the Adviser Entities the number of Class I shares equal in value to the Excess Distributable Income for such quarter in respect of any outstanding Class I PCRs. The Adviser Entities, and their respective affiliates and employees, may not request repurchase by the Company of any Class I shares issued under the PCR Agreement for a period of six (6) months from the date of issuance. Thereafter, upon ten days’ written notice to the Company by the Adviser Entities, the Company must repurchase any Class I shares requested to be repurchased by the Adviser Entities at the then current transaction price per Class I share; provided that no repurchase shall be permitted that would jeopardize the Company’s qualification as a REIT or violate Maryland law. If, prior to the Performance Achievement Date, (i) the Advisory Agreement is terminated in accordance with Section 12(b) of the Advisory Agreement (other than Section 12(b)(iii) thereof) or (ii) the sub-advisory agreement is terminated in accordance with Section 9(b) thereof (other than Section 9(b)(v) thereof), any rights related to the Class I PCRs evidenced thereby by the terminated party as of the date of such termination shall immediately vest and the Company shall issue the number of Class I shares issuable upon such vesting. If, prior to the Performance Achievement Date, either of the Adviser Entities resigns as the adviser or sub-adviser, respectively, of the Company, then any rights related to the Class I PCRs evidenced thereby as of the date of such resignation shall remain outstanding and Class I shares issuable in respect thereof shall be issued upon achievement of the Performance Conditions.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Administrative Services Fee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Advisory Agreement, FS Real Estate Advisor is entitled to an administrative services fee equal to 1.0% of the Company’s NAV per annum attributable to all shares of common stock, before giving effect to any accruals for the base management fee, the performance fee, the administrative services fee, the stockholder servicing fee or any distributions. The administrative services fee is payable quarterly and in arrears in the cash equivalent number of restricted stock units (“Class I RSUs”) representing the right to receive Class I shares of the Company’s common stock (“Class I shares”) based on the then-current Class I transaction price as of the last day of such quarter. Class I RSUs in payment of the administrative services fee will provide the adviser the right to receive a number of Class I shares equivalent to the number of Class I RSUs, subject to the terms and conditions set forth in the Class I RSU Agreement (as defined below).</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FS Real Estate Advisor may elect, at a later date, to have the Company repurchase some or all of the Class I shares issued to the adviser in accordance with the Advisory Agreement, including Class I shares issued pursuant to any Class I RSUs, at a per share price equal to the then-current Class I share transaction price. Such Class I shares will not be subject to the repurchase limits of the Company’s share repurchase plan or any reduction or penalty for an early repurchase, provided that the approval of the Company’s independent directors is required for any repurchase request of FS Real Estate Advisor or Rialto, for Class I shares received as payment for advisory fees that, when combined with any stockholder repurchase requests submitted through the Company’s share purchase plan, would cause the Company to exceed the monthly and quarterly repurchase limitations of its share repurchase plan. The FS Real Estate Advisor will have no registration rights with respect to such Class I shares. Any such Class I shares and Class I RSUs issued to Rialto will have the same rights and conditions as those issued to FS Real Estate Advisor.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least annually, the Company’s board of directors reviews the amount of the administrative services fees and expenses reimbursable to FS Real Estate Advisor, Rialto and unaffiliated third-parties to determine whether such amounts are reasonable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relation to the services provided. The Company will not reimburse FS Real Estate Advisor or Rialto for any services for which it receives a separate fee or for any administrative expenses allocated to employees to the extent they serve as executive officers of the Company.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Class I Restricted Stock Unit Agreement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1, 2022, the Company, FS Real Estate Advisor and Rialto entered into the Class I Restricted Stock Unit Agreement (the “Class I RSU Agreement”). Pursuant to the Class I RSU Agreement, and in accordance with the Advisory Agreement, the administrative services fee will be payable quarterly in arrears on the last day of each quarter in the cash equivalent number of Class I RSUs based on the then-current Class I share transaction price as of the last day of such quarter. On the last day of each quarter, the Company will issue to FS Real Estate Advisor and Rialto the cash equivalent number of Class I RSUs to which each is entitled. Class I RSUs will vest ratably on the first calendar day of the month following the one, two and three-year anniversary of the applicable grant date, provided that (i) 100% of FS Real Estate Advisor’s Class I RSUs will immediately vest upon the nonrenewal or termination of the Advisory Agreement pursuant to Section 12(b)(ii), Section 12(b)(iii) or Section 12(b)(iv) thereof; (ii) 100% of the Sub-Adviser’s Class I RSUs will immediately vest upon the nonrenewal or termination of the sub-advisory agreement between FS Real Estate Advisor and Rialto (the “Sub-Advisory Agreement”) pursuant to Section 9(b)(i), Section 9(b)(iii), Section 9(b)(iv), Section 9(b)(v) or Section 9(b)(vi) thereof; (iii) 100% of FS Real Estate Advisor’s unvested Class I RSUs will be automatically forfeited upon termination of the Advisory Agreement pursuant to Section 12(b)(i) thereof; and (iv) 100% of the Sub-Adviser’s unvested Class I RSUs will be automatically forfeited upon termination of the Sub-Advisory Agreement pursuant to Section 9(b)(ii) thereof. If FS Real Estate Advisor and Rialto resigns as the Company’s adviser or sub-adviser, respectively, then any rights related to the Class I RSUs evidenced thereby as of the date of such resignation will remain outstanding and Class I shares issuable in respect thereof will be issued upon the applicable vesting date. If the Company declares a cash distribution on the Class I shares underlying unvested Class I RSUs, then the Company will credit the account of FS Real Estate Advisor and Rialto with the applicable distribution equivalents, which will be subject to the same vesting and forfeiture restrictions as the Class I RSUs. FS Real Estate Advisor and Rialto, and their respective affiliates and employees, may not request repurchase by the Company of any Class I shares issued under the Class I RSU Agreement for a period of six months from the date of issuance. Thereafter, upon ten days’ written notice to the Company the Company must repurchase any Class I shares requested to be repurchased by FS Real Estate Advisor and Rialto at the most recently published transaction price per Class I share; provided that no repurchase will be permitted that would jeopardize the Company’s qualification as a REIT or violate Maryland law.</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11, 2025, the Class I RSU Agreement was amended. As amended, the Class I RSU Agreement provides that (i) RSUs granted after March 31, 2025 will vest ratably over four years starting after the second anniversary of the grant date and (ii) previously issued and outstanding RSUs are eligible to vest proportionally on the first calendar day of the month following the anniversary of the applicable grant date in each of 2026, 2027, 2028 and 2029.</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Origination and Other Fees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FS Real Estate Advisor has engaged Rialto as sub-adviser to originate or arrange loans and other investments on behalf of the Company, and FS Real Estate Advisor oversees the sub-adviser’s origination activities. In connection with these activities, origination or other fees of up to 1.0% of the loan amount for first lien, subordinated or mezzanine debt, preferred equity financing or other investments may be retained by Rialto or FS Real Estate Advisor. Such origination and other fees will be retained only to the extent they are paid by a borrower or seller, either directly to Rialto or FS Real Estate Advisor or indirectly through the Company. During the six months ended June 30, 2026 and 2025, $15,052 and $6,820, respectively, in origination and other fees were paid directly by a borrower or seller to FS Real Estate Advisor or Rialto and not to the Company.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Offering Costs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Future Standard funded the Company’s offering costs in the amount of $30,879 for the period from November 7, 2016 (Inception) to June 30, 2026. These expenses include legal, accounting, printing, mailing and filing fees and expenses, due diligence expenses of participating broker-dealers supported by detailed and itemized invoices, costs in connection with preparing sales materials, design and website expenses, fees and expenses of the Company’s transfer agent, fees to attend retail seminars sponsored by participating broker-dealers and reimbursements for customary travel, lodging, and meals, but excluding selling commissions, dealer manager fees and stockholder servicing fees.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FS Real Estate Advisor may be reimbursed for any organization and offering expenses that it or Rialto has incurred on the Company's behalf, up to a cap of 0.75% of gross proceeds raised. During the six months ended June 30, 2026, the Company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$1,238 to FS Real Estate Advisor for offering costs previously funded. As of June 30, 2026, $2,693 of offering expenses previously funded remained subject to reimbursement to FS Real Estate Advisor and Rialto.</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Valuation Services Fee</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a sub-advisory agreement between FS Real Estate Advisor and Rialto, FS Real Estate Advisor has engaged Rialto to provide periodic valuations of certain investments held by the Company and is entitled to a fee of $1 for each valuation of an individual investment. Rialto shall not be entitled to a fee when an individual investment is valued by an independent valuation firm. Any fees paid to our adviser, the sub-adviser, or their affiliates for any such services does not reduce the advisory fees or the administrative services fees. Any such arrangements are at market terms and rates.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the fees and expenses accrued under the advisory agreement and sub-advisory agreement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395"/>
        <w:gridCol w:w="348"/>
        <w:gridCol w:w="349"/>
        <w:gridCol w:w="109"/>
        <w:gridCol w:w="109"/>
        <w:gridCol w:w="109"/>
        <w:gridCol w:w="569"/>
        <w:gridCol w:w="406"/>
        <w:gridCol w:w="407"/>
        <w:gridCol w:w="109"/>
        <w:gridCol w:w="109"/>
        <w:gridCol w:w="109"/>
        <w:gridCol w:w="589"/>
        <w:gridCol w:w="463"/>
        <w:gridCol w:w="468"/>
        <w:gridCol w:w="109"/>
        <w:gridCol w:w="109"/>
        <w:gridCol w:w="109"/>
        <w:gridCol w:w="214"/>
        <w:gridCol w:w="731"/>
        <w:gridCol w:w="110"/>
        <w:gridCol w:w="110"/>
        <w:gridCol w:w="110"/>
        <w:gridCol w:w="110"/>
        <w:gridCol w:w="214"/>
        <w:gridCol w:w="731"/>
        <w:gridCol w:w="110"/>
        <w:gridCol w:w="109"/>
        <w:gridCol w:w="109"/>
        <w:gridCol w:w="109"/>
        <w:gridCol w:w="211"/>
        <w:gridCol w:w="721"/>
        <w:gridCol w:w="109"/>
        <w:gridCol w:w="109"/>
        <w:gridCol w:w="109"/>
        <w:gridCol w:w="109"/>
        <w:gridCol w:w="211"/>
        <w:gridCol w:w="721"/>
        <w:gridCol w:w="163"/>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Real Estate Advisor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Base Management Fee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Real Estate Advisor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Fee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Real Estate Advisor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Administrative Services Fee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Rialto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Sub-Advisory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Valuation Services Fees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Real Estate Advisor or Rialto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 and Other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During the six months ended June 30, 2026, FS Real Estate Advisor received $3,964 in cash and $17,200 of performance contingent rights were issued as payment for management fees. During the six months ended June 30, 2025, FS Real Estate Advisor received $18,657 in cash as payment for base management fees. As of June 30, 2026, there were $1,416 base management fees payable to FS Real Estate Advisor.</w:t>
      </w:r>
    </w:p>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During the six months ended June 30, 2026 and 2025, no performance fees were paid to FS Real Estate Advisor. As of June 30, 2026, there were no performance fees payable to FS Real Estate Advisor.</w:t>
      </w:r>
    </w:p>
    <w:p>
      <w:pPr>
        <w:pStyle w:val="TextBody"/>
        <w:bidi w:val="0"/>
        <w:spacing w:lineRule="auto" w:line="276"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On December 1, 2022, the Company's method for reimbursing administrative services expense was replaced with an administrative services fee equal to 1.0% of the Company’s NAV per annum attributable to all shares of common stock, before giving effect to any accruals for the base management fee, the performance fee, the administrative services fee, the stockholder servicing fee or any distributions.</w:t>
      </w:r>
    </w:p>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(4)     During the six months ended June 30, 2026 and 2025, $0 and $219, respectively, in valuation fees were paid by the Company to Rialto.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Dealer Manager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dealer manager for the Company’s continuous public offering is FS Investment Solutions, LLC, "FS Investment Solutions", which is an affiliate of FS Real Estate Advisor. Under the amended and restated dealer manager agreement dated as of August 17, 2018, (the "Dealer Management Agreement"), FS Investment Solutions is entitled to receive upfront selling commissions of up to 3.0%, and upfront dealer manager fees of 0.5% of the transaction price of each Class T share sold in the primary offering, however such amounts may vary at certain participating broker-dealers provided that the sum will not exceed 3.5% of the transaction price (subject to reductions for certain categories of purchasers). FS Investment Solutions is entitled to receive upfront selling commissions of up to 3.5% of the transaction price per Class S share sold in the primary offering (subject to reductions for certain categories of purchasers). FS Investment Solutions anticipates that all of the selling commissions and dealer manager fees will be re-allowed to participating broker-dealers, unless a particular broker-dealer declines to accept some portion of the dealer manager fee they are otherwise eligible to receive. Pursuant to the Dealer Manager Agreement, the Company also reimburses FS Investment Solutions or participating broker-dealers for bona fide due diligence expenses, provided that total organization and offering expenses shall not exceed 15% of the gross proceeds in the Company's public offering.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selling commissions or dealer manager fees are payable on the sale of Class D, Class M, Class I, Class F or Class Y shares or on shares of any class sold pursuant to the Company's distribution reinvestment plan.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Subject to the limitations described below, the Company pays FS Investment Solutions stockholder servicing fees for ongoing services rendered to stockholders by participating broker-dealers or by broker-dealers servicing stockholders’ accounts, referred to as servicing broker-dealers: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with respect to the Company's outstanding Class T shares equal to 0.85% per annum of the aggregate NAV of its outstanding Class T shares, consisting of an advisor stockholder servicing fee of 0.65% per annum and a dealer stockholder servicing fee of 0.20% per annum; however, with respect to Class T shares sold through certain participating broker-dealers, the advisor stockholder servicing fee and the dealer stockholder servicing fee may be other amounts, provided that the sum of such fees will always equal 0.85% per annum of the NAV of such shares;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with respect to the Company's outstanding Class S shares equal to 0.85% per annum of the aggregate NAV of its outstanding Class S shares;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with respect to the Company's outstanding Class D shares equal to 0.3% per annum of the aggregate NAV of its outstanding Class D shares;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the Company's outstanding Class M shares equal to 0.3% per annum of the aggregate NAV of its outstanding Class M shares.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does not pay a stockholder servicing fee with respect to its Class I, Class F or Class Y shares. FS Investment Solutions reallows some or all of the stockholder servicing fees to participating broker-dealers, servicing broker-dealers and financial institutions (including bank trust departments) for ongoing stockholder services performed by such broker-dealers, and waives (pays back to the Company) stockholder servicing fees to the extent a broker-dealer or financial institution is not eligible or otherwise declines to receive all or a portion of such fees.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will cease paying stockholder servicing fees with respect to any Class D, Class M, Class S and Class T shares held in a stockholder’s account at the end of the month in which the total underwriting compensation from the upfront selling commissions, dealer manager fees and stockholder servicing fees, as applicable, paid with respect to such account would exceed 1.25%, 7.25%, 8.75% and 8.75%, respectively (or a lower limit for shares sold by certain participating broker-dealers or financial institutions) of the gross proceeds from the sale of shares in such account. These amounts are referred to as the sales charge cap. At the end of such month that the sales charge cap is reached, each Class D, Class M, Class S or Class T share in such account will convert into a number of Class I shares (including any fractional shares) with an equivalent aggregate NAV as such share.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Company will cease paying stockholder servicing fees on each Class D share, Class M share, Class S share and Class T share held in a stockholder’s account and each such share will convert to Class I shares on the earlier to occur of the following: (i) a listing of Class I shares on a national securities exchange; (ii) the sale or other disposition of all or substantially all of the Company’s assets or the Company’s merger or consolidation with or into another entity in a transaction in which holders of Class D, Class M, Class S or Class T shares receive cash and/or shares of stock that are listed on a national securities exchange; or (iii) the date following the completion of the Company’s public offering on which, in the aggregate, underwriting compensation from all sources in connection with the Company’s public offering, including selling commissions, dealer manager fees, stockholder servicing fees and other underwriting compensation, is equal to 10% of the gross proceeds from its primary offering.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accrues future stockholder servicing fees in an amount equal to its best estimate of fees payable to FS Investment Solutions at the time such shares are sold. As of June 30, 2026 and December 31, 2025, the Company accrued $86,529 and $92,921, respectively, of stockholder servicing fees payable to FS Investment Solutions. FS Investment Solutions has entered into agreements with selected dealers distributing the Company's shares in the public offering, which provide, among other things, for the re-allowance of the full amount of the selling commissions and dealer manager fee and all or a portion of the stockholder servicing fees received by FS Investment Solutions to such selected dealers.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FS Investment Solutions also serves or served as the placement agent for the Company’s private offerings of Class I, Class F and Class Y shares pursuant to placement agreements. FS Investment Solutions does not receive any compensation pursuant to these agreements.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Expense Limitation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an amended and restated expense limitation agreement with FS Real Estate Advisor and Rialto, (the "Expense Limitation Agreement"), pursuant to which FS Real Estate Advisor and Rialto have agreed to waive reimbursement of or pay, on a quarterly basis, the Company’s annualized ordinary operating expenses for such quarter to the extent such expenses exceed 1.5% per annum of its average net assets attributable to each of its classes of common stock. The Company will repay FS Real Estate Advisor or Rialto on a quarterly basis any ordinary operating expenses previously waived or paid, but only if the reimbursement would not cause the then-current expense limitation, if any, to be exceeded. In addition, the reimbursement of expenses will be made only if payable not more than three years from the end of the fiscal quarter in which the expenses were paid or waived.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the extent that the conditions to recoupment are satisfied in a future quarter (prior to the expiration of the three-year period for reimbursement set forth in the expense limitation agreement), such expenses may be subject to conditional recoupment in accordance with the terms of the expense limitation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amounts paid or waived by FS Real Estate Advisor and Rialto under the Expense Limitation Agreement and the expiration date for future possible reimbursements by the Company:</w:t>
      </w:r>
    </w:p>
    <w:tbl>
      <w:tblPr>
        <w:tblW w:w="10205" w:type="dxa"/>
        <w:jc w:val="left"/>
        <w:tblInd w:w="0" w:type="dxa"/>
        <w:tblLayout w:type="fixed"/>
        <w:tblCellMar>
          <w:top w:w="28" w:type="dxa"/>
          <w:left w:w="28" w:type="dxa"/>
          <w:bottom w:w="28" w:type="dxa"/>
          <w:right w:w="28" w:type="dxa"/>
        </w:tblCellMar>
      </w:tblPr>
      <w:tblGrid>
        <w:gridCol w:w="589"/>
        <w:gridCol w:w="363"/>
        <w:gridCol w:w="364"/>
        <w:gridCol w:w="109"/>
        <w:gridCol w:w="109"/>
        <w:gridCol w:w="109"/>
        <w:gridCol w:w="405"/>
        <w:gridCol w:w="1187"/>
        <w:gridCol w:w="211"/>
        <w:gridCol w:w="109"/>
        <w:gridCol w:w="109"/>
        <w:gridCol w:w="109"/>
        <w:gridCol w:w="335"/>
        <w:gridCol w:w="741"/>
        <w:gridCol w:w="174"/>
        <w:gridCol w:w="109"/>
        <w:gridCol w:w="109"/>
        <w:gridCol w:w="109"/>
        <w:gridCol w:w="443"/>
        <w:gridCol w:w="979"/>
        <w:gridCol w:w="230"/>
        <w:gridCol w:w="109"/>
        <w:gridCol w:w="109"/>
        <w:gridCol w:w="109"/>
        <w:gridCol w:w="276"/>
        <w:gridCol w:w="532"/>
        <w:gridCol w:w="143"/>
        <w:gridCol w:w="109"/>
        <w:gridCol w:w="109"/>
        <w:gridCol w:w="109"/>
        <w:gridCol w:w="465"/>
        <w:gridCol w:w="465"/>
        <w:gridCol w:w="668"/>
      </w:tblGrid>
      <w:tr>
        <w:trPr/>
        <w:tc>
          <w:tcPr>
            <w:tcW w:w="58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Expense Reimbursement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Recoupable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Recoupment paid or payable to sponsor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Expired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Recoupment eligibility expiration</w:t>
            </w:r>
          </w:p>
        </w:tc>
      </w:tr>
      <w:tr>
        <w:trPr/>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2029</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2029</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2028</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2028</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2028</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2028</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Capital Contributions and Commitments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2016, pursuant to a private placement, Michael C. Forman and David J. Adelman, principals of Future Standard, contributed an aggregate of $200 to purchase 8,000 Class F shares at the price of $25.00 per share. These individuals will not tender these shares of common stock for repurchase as long as FS Real Estate Advisor remains the Company's adviser. Future Standard is controlled by Mr. Forman, the Company's president and chief executive officer, and Mr. Adelman.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ownership in the Company's Class F Shares by FS Real Estate Advisor and Rialto (and each of their respective affiliates and designees) was $14,529 and $125, respectively.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RIAL 2022-FL8 Transaction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2023 and 2022, the Company purchased $15,000 and $36,000, respectively, of mortgage-backed securities in a transaction in which an affiliate of Rialto is the issuer of the notes. These securities were accounted for as available-for-sale. As of December 31, 2025 all positions previously held by the Company had fully paid down.</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Stockholders' Equity</w:t>
      </w:r>
    </w:p>
    <w:p>
      <w:pPr>
        <w:pStyle w:val="TextBody"/>
        <w:bidi w:val="0"/>
        <w:spacing w:before="0" w:after="0"/>
        <w:jc w:val="left"/>
        <w:rPr/>
      </w:pPr>
      <w:r>
        <w:rPr/>
      </w:r>
    </w:p>
    <w:p>
      <w:pPr>
        <w:pStyle w:val="TextBody"/>
        <w:bidi w:val="0"/>
        <w:spacing w:lineRule="auto" w:line="288" w:before="18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Below is a summary of transactions with respect to shares of the Company's common stock during the six months ended June 30, 2026 and 2025:</w:t>
      </w:r>
    </w:p>
    <w:tbl>
      <w:tblPr>
        <w:tblW w:w="11667" w:type="dxa"/>
        <w:jc w:val="left"/>
        <w:tblInd w:w="0" w:type="dxa"/>
        <w:tblLayout w:type="fixed"/>
        <w:tblCellMar>
          <w:top w:w="28" w:type="dxa"/>
          <w:left w:w="28" w:type="dxa"/>
          <w:bottom w:w="28" w:type="dxa"/>
          <w:right w:w="28" w:type="dxa"/>
        </w:tblCellMar>
      </w:tblPr>
      <w:tblGrid>
        <w:gridCol w:w="402"/>
        <w:gridCol w:w="354"/>
        <w:gridCol w:w="35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556"/>
        <w:gridCol w:w="109"/>
        <w:gridCol w:w="109"/>
        <w:gridCol w:w="109"/>
        <w:gridCol w:w="109"/>
        <w:gridCol w:w="202"/>
        <w:gridCol w:w="669"/>
        <w:gridCol w:w="109"/>
        <w:gridCol w:w="109"/>
        <w:gridCol w:w="109"/>
        <w:gridCol w:w="109"/>
        <w:gridCol w:w="196"/>
        <w:gridCol w:w="871"/>
        <w:gridCol w:w="109"/>
        <w:gridCol w:w="109"/>
        <w:gridCol w:w="109"/>
        <w:gridCol w:w="109"/>
        <w:gridCol w:w="196"/>
        <w:gridCol w:w="87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67,157,395 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49,713,386 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123,231,011 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distributions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(5,405,896)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(10,472,702)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in or out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49,312,173 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121,759,619 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distributions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in or out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stockholder servicing fees</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2,855,194 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818" w:type="dxa"/>
        <w:jc w:val="left"/>
        <w:tblInd w:w="0" w:type="dxa"/>
        <w:tblLayout w:type="fixed"/>
        <w:tblCellMar>
          <w:top w:w="28" w:type="dxa"/>
          <w:left w:w="28" w:type="dxa"/>
          <w:bottom w:w="28" w:type="dxa"/>
          <w:right w:w="28" w:type="dxa"/>
        </w:tblCellMar>
      </w:tblPr>
      <w:tblGrid>
        <w:gridCol w:w="402"/>
        <w:gridCol w:w="354"/>
        <w:gridCol w:w="35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64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64,784,166 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48,222,436 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120,486,866 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distributions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(5,679,558)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(12,419,312)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in or out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64,701,459 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48,125,931 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119,351,012 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distributions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in or out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stockholder servicing fees</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2,803,687 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Stockholder servicing fees only apply to Class T, Class S, Class D and Class M shares. Under GAAP, the Company accrues future stockholder servicing fees in an amount equal to its best estimate of fees payable to FS Investment Solutions at the time such shares are sold. For purposes of NAV, the Company recognizes the stockholder servicing fee as a reduction of NAV on a monthly basis. As a result, the estimated liability for the future stockholder servicing fees, which are accrued at the time each share is sold, will have no effect on the NAV of any class.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 Plan</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 xml:space="preserve">The Company has adopted an amended and restated share repurchase plan, (the "Share Repurchase Plan"), whereby on a monthly basis, stockholders may request that the Company repurchase all or any portion of their shares. The repurchase of shares is limited to no more than 2% of the Company's aggregate NAV per month of all classes of shares then participating in the Share Repurchase Plan and no more than 5% of the Company's aggregate NAV per calendar quarter of all classes of shares then participating in the Share Repurchase Plan, which means that in any 12-month period, the Company limits repurchases to approximately 20%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Stockholders' Equity (continued)</w:t>
      </w:r>
    </w:p>
    <w:p>
      <w:pPr>
        <w:pStyle w:val="TextBody"/>
        <w:bidi w:val="0"/>
        <w:spacing w:lineRule="auto" w:line="288" w:before="120" w:after="120"/>
        <w:jc w:val="left"/>
        <w:rPr/>
      </w:pPr>
      <w:r>
        <w:rPr>
          <w:rFonts w:ascii="Times New Roman;serif" w:hAnsi="Times New Roman;serif"/>
          <w:b w:val="false"/>
          <w:color w:val="231F20"/>
          <w:sz w:val="20"/>
        </w:rPr>
        <w:t xml:space="preserve">total NAV of all classes of shares then participating in the Share Repurchase Plan. The Company's board of directors may modify, suspend or terminate the Share Repurchase Plan if it deems such action to be in the Company's best interest and the best interest of its stockholders. During the six months ended June 30, 2026 and 2025, the Company repurchased 10,472,702 and </w:t>
      </w:r>
      <w:r>
        <w:rPr>
          <w:rFonts w:ascii="Times New Roman;serif" w:hAnsi="Times New Roman;serif"/>
          <w:b w:val="false"/>
          <w:color w:val="000000"/>
          <w:sz w:val="20"/>
        </w:rPr>
        <w:t>12,419,312</w:t>
      </w:r>
      <w:r>
        <w:rPr>
          <w:rFonts w:ascii="Times New Roman;serif" w:hAnsi="Times New Roman;serif"/>
          <w:b w:val="false"/>
          <w:color w:val="231F20"/>
          <w:sz w:val="20"/>
        </w:rPr>
        <w:t xml:space="preserve">, respectively, shares of common stock under its Share Repurchase Plan representing a total of $255,648 and </w:t>
      </w:r>
      <w:r>
        <w:rPr>
          <w:rFonts w:ascii="Times New Roman;serif" w:hAnsi="Times New Roman;serif"/>
          <w:b w:val="false"/>
          <w:color w:val="000000"/>
          <w:sz w:val="20"/>
        </w:rPr>
        <w:t>$305,583</w:t>
      </w:r>
      <w:r>
        <w:rPr>
          <w:rFonts w:ascii="Times New Roman;serif" w:hAnsi="Times New Roman;serif"/>
          <w:b w:val="false"/>
          <w:color w:val="231F20"/>
          <w:sz w:val="20"/>
        </w:rPr>
        <w:t>, respectively. In March 2026, the Company received repurchase requests equal to 2.10%, of its aggregate NAV of all classes of shares then participating in its Share Repurchase Plan as of the last calendar day of the previous calendar month. Further, the cumulative repurchase requests for the first quarter of 2026 did not exceed 5% of the Company's aggregate NAV of all classes of shares then participating in its Share Repurchase Plan as of the last calendar day of the previous calendar quarter. The Company's board of directors, including all of its independent directors, unanimously authorized repurchases in excess of its 2% monthly repurchase limitation for March 2026 such that 100% of share repurchase requests timely received in March 2026 and the first quarter of 2026 were satisfied. The Company had no unfulfilled repurchase requests during the six months ended June 30, 2026 or 2025, respectively.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 Reinvestment Plan</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Pursuant to the Company's distribution reinvestment plan, holders of shares of any class of the Company's common stock may elect to have their cash distributions reinvested in additional shares of the Company's common stock. The purchase price for shares pursuant to the distribution reinvestment plan will be equal to the transaction price for such shares at the time the distribution is payable.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Distributions</w:t>
      </w:r>
    </w:p>
    <w:p>
      <w:pPr>
        <w:pStyle w:val="TextBody"/>
        <w:bidi w:val="0"/>
        <w:spacing w:lineRule="auto" w:line="288" w:before="120" w:after="120"/>
        <w:ind w:left="0" w:right="0" w:firstLine="450"/>
        <w:jc w:val="left"/>
        <w:rPr/>
      </w:pPr>
      <w:r>
        <w:rPr>
          <w:rFonts w:ascii="Times New Roman;serif" w:hAnsi="Times New Roman;serif"/>
          <w:b w:val="false"/>
          <w:color w:val="000000"/>
          <w:sz w:val="20"/>
        </w:rPr>
        <w:t xml:space="preserve">The Company generally intends to distribute substantially all of its taxable income, which does not necessarily equal net income as calculated in accordance with </w:t>
      </w:r>
      <w:r>
        <w:rPr>
          <w:rFonts w:ascii="Times New Roman;serif" w:hAnsi="Times New Roman;serif"/>
          <w:b w:val="false"/>
          <w:color w:val="231F20"/>
          <w:sz w:val="20"/>
        </w:rPr>
        <w:t>GAAP</w:t>
      </w:r>
      <w:r>
        <w:rPr>
          <w:rFonts w:ascii="Times New Roman;serif" w:hAnsi="Times New Roman;serif"/>
          <w:b w:val="false"/>
          <w:color w:val="000000"/>
          <w:sz w:val="20"/>
        </w:rPr>
        <w:t>, to its stockholders each year to comply with the REIT provisions of the Code. Dividends are paid first to the holders of the Company's Series A preferred stock at the rate of 12.0% per annum plus all accumulated and unpaid dividends thereon, and then to the holders of the Company's common stock. All distributions will be made at the discretion of the Company's board of directors and will depend upon its taxable income, financial condition, maintenance of REIT status, applicable law, and other factors that the Company's board of directors deems relevant.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cash distributions per share that the Company paid on its common stock during the six months ended June 30, 2026:</w:t>
      </w:r>
    </w:p>
    <w:tbl>
      <w:tblPr>
        <w:tblW w:w="10462" w:type="dxa"/>
        <w:jc w:val="center"/>
        <w:tblInd w:w="0" w:type="dxa"/>
        <w:tblLayout w:type="fixed"/>
        <w:tblCellMar>
          <w:top w:w="28" w:type="dxa"/>
          <w:left w:w="28" w:type="dxa"/>
          <w:bottom w:w="28" w:type="dxa"/>
          <w:right w:w="28" w:type="dxa"/>
        </w:tblCellMar>
      </w:tblPr>
      <w:tblGrid>
        <w:gridCol w:w="410"/>
        <w:gridCol w:w="215"/>
        <w:gridCol w:w="21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amount of cash distributions that the Company paid on its common stock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Stockholders' Equity (continued)</w:t>
      </w:r>
    </w:p>
    <w:tbl>
      <w:tblPr>
        <w:tblW w:w="10205" w:type="dxa"/>
        <w:jc w:val="left"/>
        <w:tblInd w:w="0" w:type="dxa"/>
        <w:tblLayout w:type="fixed"/>
        <w:tblCellMar>
          <w:top w:w="28" w:type="dxa"/>
          <w:left w:w="28" w:type="dxa"/>
          <w:bottom w:w="28" w:type="dxa"/>
          <w:right w:w="28" w:type="dxa"/>
        </w:tblCellMar>
      </w:tblPr>
      <w:tblGrid>
        <w:gridCol w:w="1544"/>
        <w:gridCol w:w="1359"/>
        <w:gridCol w:w="1366"/>
        <w:gridCol w:w="109"/>
        <w:gridCol w:w="109"/>
        <w:gridCol w:w="109"/>
        <w:gridCol w:w="229"/>
        <w:gridCol w:w="783"/>
        <w:gridCol w:w="117"/>
        <w:gridCol w:w="117"/>
        <w:gridCol w:w="117"/>
        <w:gridCol w:w="117"/>
        <w:gridCol w:w="229"/>
        <w:gridCol w:w="783"/>
        <w:gridCol w:w="117"/>
        <w:gridCol w:w="109"/>
        <w:gridCol w:w="109"/>
        <w:gridCol w:w="109"/>
        <w:gridCol w:w="211"/>
        <w:gridCol w:w="826"/>
        <w:gridCol w:w="109"/>
        <w:gridCol w:w="109"/>
        <w:gridCol w:w="109"/>
        <w:gridCol w:w="109"/>
        <w:gridCol w:w="211"/>
        <w:gridCol w:w="826"/>
        <w:gridCol w:w="163"/>
      </w:tblGrid>
      <w:tr>
        <w:trPr/>
        <w:tc>
          <w:tcPr>
            <w:tcW w:w="15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or payable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Reinvested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 of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flows from operating activities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sources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58,763 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48,336 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87,430 </w:t>
            </w:r>
          </w:p>
        </w:tc>
        <w:tc>
          <w:tcPr>
            <w:tcW w:w="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120" w:after="120"/>
        <w:ind w:left="0" w:right="0" w:hanging="540"/>
        <w:jc w:val="left"/>
        <w:rPr/>
      </w:pPr>
      <w:r>
        <w:rPr>
          <w:rFonts w:ascii="Times New Roman;serif" w:hAnsi="Times New Roman;serif"/>
          <w:b w:val="false"/>
          <w:color w:val="000000"/>
          <w:sz w:val="18"/>
        </w:rPr>
        <w:t>(1)    </w:t>
      </w:r>
      <w:r>
        <w:rPr>
          <w:rFonts w:ascii="Times New Roman;serif" w:hAnsi="Times New Roman;serif"/>
          <w:b w:val="false"/>
          <w:color w:val="000000"/>
          <w:sz w:val="20"/>
        </w:rPr>
        <w:t>As of June 30, 2026, the Company's inception to date cash flows from operating activities have funded 100% of its distributions.</w:t>
      </w:r>
      <w:r>
        <w:rPr>
          <w:color w:val="000000"/>
        </w:rPr>
        <w:t xml:space="preserve"> </w:t>
      </w:r>
    </w:p>
    <w:p>
      <w:pPr>
        <w:pStyle w:val="TextBody"/>
        <w:bidi w:val="0"/>
        <w:spacing w:lineRule="auto" w:line="288" w:before="12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Company currently declares and pays regular cash distributions on a monthly basis. The Company’s board of directors previously authorized regular monthly cash distributions for July 2026 for each class of its outstanding common stock in the net distribution amounts per share set forth below:</w:t>
      </w:r>
    </w:p>
    <w:tbl>
      <w:tblPr>
        <w:tblW w:w="9527" w:type="dxa"/>
        <w:jc w:val="center"/>
        <w:tblInd w:w="0" w:type="dxa"/>
        <w:tblLayout w:type="fixed"/>
        <w:tblCellMar>
          <w:top w:w="28" w:type="dxa"/>
          <w:left w:w="28" w:type="dxa"/>
          <w:bottom w:w="28" w:type="dxa"/>
          <w:right w:w="28" w:type="dxa"/>
        </w:tblCellMar>
      </w:tblPr>
      <w:tblGrid>
        <w:gridCol w:w="124"/>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253" w:type="dxa"/>
            <w:gridSpan w:val="3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distributions for each class of outstanding common stock have been or will be paid monthly to stockholders of record as of the monthly record dates previously determined by the Company's board of directors. These distributions have been or will be paid in cash or reinvested in shares of the Company’s common stock for stockholders participating in the Company’s distribution reinvestment plan.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Earnings per Share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net income (loss) and weighted average shares outstanding for the three and six months ended June 30, 2026 and 2025 consist of the following: </w:t>
      </w:r>
    </w:p>
    <w:tbl>
      <w:tblPr>
        <w:tblW w:w="10205" w:type="dxa"/>
        <w:jc w:val="left"/>
        <w:tblInd w:w="0" w:type="dxa"/>
        <w:tblLayout w:type="fixed"/>
        <w:tblCellMar>
          <w:top w:w="28" w:type="dxa"/>
          <w:left w:w="28" w:type="dxa"/>
          <w:bottom w:w="28" w:type="dxa"/>
          <w:right w:w="28" w:type="dxa"/>
        </w:tblCellMar>
      </w:tblPr>
      <w:tblGrid>
        <w:gridCol w:w="1356"/>
        <w:gridCol w:w="1139"/>
        <w:gridCol w:w="1145"/>
        <w:gridCol w:w="109"/>
        <w:gridCol w:w="109"/>
        <w:gridCol w:w="109"/>
        <w:gridCol w:w="268"/>
        <w:gridCol w:w="918"/>
        <w:gridCol w:w="114"/>
        <w:gridCol w:w="114"/>
        <w:gridCol w:w="114"/>
        <w:gridCol w:w="114"/>
        <w:gridCol w:w="268"/>
        <w:gridCol w:w="918"/>
        <w:gridCol w:w="114"/>
        <w:gridCol w:w="109"/>
        <w:gridCol w:w="109"/>
        <w:gridCol w:w="109"/>
        <w:gridCol w:w="268"/>
        <w:gridCol w:w="918"/>
        <w:gridCol w:w="109"/>
        <w:gridCol w:w="109"/>
        <w:gridCol w:w="109"/>
        <w:gridCol w:w="109"/>
        <w:gridCol w:w="268"/>
        <w:gridCol w:w="918"/>
        <w:gridCol w:w="161"/>
      </w:tblGrid>
      <w:tr>
        <w:trPr/>
        <w:tc>
          <w:tcPr>
            <w:tcW w:w="135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FS Credit Real Estate Income Trust,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122,701,902 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119,976,846 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121,239,780 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 average common stock outstanding - diluted</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126,325,835 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122,396,378 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127,039,129 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123,492,967 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w:t>
      </w:r>
    </w:p>
    <w:p>
      <w:pPr>
        <w:pStyle w:val="TextBody"/>
        <w:bidi w:val="0"/>
        <w:spacing w:lineRule="auto" w:line="288" w:before="0" w:after="0"/>
        <w:ind w:left="0" w:right="0" w:hanging="540"/>
        <w:jc w:val="left"/>
        <w:rPr/>
      </w:pPr>
      <w:r>
        <w:rPr>
          <w:rFonts w:ascii="Times New Roman;serif" w:hAnsi="Times New Roman;serif"/>
          <w:b w:val="false"/>
          <w:color w:val="000000"/>
          <w:sz w:val="18"/>
        </w:rPr>
        <w:t>(1)    The outstanding shares used to calculate the weighted average basic shares outstanding exclude 3,801,347 and 2,679,068 of restricted stock units awarded as of June 30, 2026 and 2025, respectively, as those shares were issued but were not vested and therefore, not considered outstanding for purposes of computing basic net income per share of common stock</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Fair Value of Financial Instruments</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assets and liabilities carried at fair value in the consolidated balance sheets by its level in the fair value hierarchy:</w:t>
      </w:r>
    </w:p>
    <w:tbl>
      <w:tblPr>
        <w:tblW w:w="12505" w:type="dxa"/>
        <w:jc w:val="left"/>
        <w:tblInd w:w="0" w:type="dxa"/>
        <w:tblLayout w:type="fixed"/>
        <w:tblCellMar>
          <w:top w:w="28" w:type="dxa"/>
          <w:left w:w="28" w:type="dxa"/>
          <w:bottom w:w="28" w:type="dxa"/>
          <w:right w:w="28" w:type="dxa"/>
        </w:tblCellMar>
      </w:tblPr>
      <w:tblGrid>
        <w:gridCol w:w="494"/>
        <w:gridCol w:w="434"/>
        <w:gridCol w:w="438"/>
        <w:gridCol w:w="109"/>
        <w:gridCol w:w="109"/>
        <w:gridCol w:w="109"/>
        <w:gridCol w:w="196"/>
        <w:gridCol w:w="871"/>
        <w:gridCol w:w="109"/>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09"/>
        <w:gridCol w:w="109"/>
        <w:gridCol w:w="109"/>
        <w:gridCol w:w="109"/>
        <w:gridCol w:w="196"/>
        <w:gridCol w:w="87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in securitization trusts,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obligations issued by securitization trusts,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fair value of financial assets which are measured at fair value on a recurring basis using Level 3 inputs to determine fair value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092"/>
        <w:gridCol w:w="1708"/>
        <w:gridCol w:w="1715"/>
        <w:gridCol w:w="109"/>
        <w:gridCol w:w="109"/>
        <w:gridCol w:w="109"/>
        <w:gridCol w:w="310"/>
        <w:gridCol w:w="1436"/>
        <w:gridCol w:w="160"/>
        <w:gridCol w:w="160"/>
        <w:gridCol w:w="160"/>
        <w:gridCol w:w="160"/>
        <w:gridCol w:w="310"/>
        <w:gridCol w:w="1436"/>
        <w:gridCol w:w="231"/>
      </w:tblGrid>
      <w:tr>
        <w:trPr/>
        <w:tc>
          <w:tcPr>
            <w:tcW w:w="209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Mortgage loans held in securitization trusts, at fair value</w:t>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2,654,570 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1,633,589 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(amortization of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gain (loss) in earnings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into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out of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Consolidation of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532,214 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2,246,442 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unrealized gains (losses) attributable to assets still held at the reporting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For the six months ended June 30, 2026 and 2025, unrealized loss of $23,058 and a gain of $18,282, respectively, related to mortgage loans held in securitization trusts, at fair value was offset by unrealized loss of $22,548 and $17,304 related to mortgage obligations issued by securitization trusts, at fair value.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utilized a discounted cash flow model, comparable precedent transactions and other market information to quantify Level 3 fair value measurements on a recurring basis. As of June 30, 2026, the key unobservable inputs used in the valuation of mortgage obligations issued by securitization trusts included a blended yield ranging from 8.86% to 12.89% (weighted average blended yield of 10.69%) and a life of 0.75 to 4.1 years (weighted average life of 2.92 years). Significant increases or decreases in any one of the inputs described above in isolation may result in significantly different fair value of the financial assets and liabilities using such Level 3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Fair Value of Financial Instruments (continued)</w: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discussed in Note 2 herein, GAAP requires disclosure of fair value information about financial instruments, whether or not recognized in the consolidated balance sheets, for which it is practicable to estimate that value. The following table details the carrying amount, face amount, and fair value of the financial instruments described in Note 2:</w:t>
      </w:r>
    </w:p>
    <w:tbl>
      <w:tblPr>
        <w:tblW w:w="10729" w:type="dxa"/>
        <w:jc w:val="center"/>
        <w:tblInd w:w="0" w:type="dxa"/>
        <w:tblLayout w:type="fixed"/>
        <w:tblCellMar>
          <w:top w:w="28" w:type="dxa"/>
          <w:left w:w="28" w:type="dxa"/>
          <w:bottom w:w="28" w:type="dxa"/>
          <w:right w:w="28" w:type="dxa"/>
        </w:tblCellMar>
      </w:tblPr>
      <w:tblGrid>
        <w:gridCol w:w="1114"/>
        <w:gridCol w:w="288"/>
        <w:gridCol w:w="264"/>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Loans receivable - held-for-investment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 agreements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Credit facilities</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Collateralized loan obligations</w:t>
            </w:r>
            <w:r>
              <w:rPr>
                <w:rFonts w:ascii="Times New Roman;serif" w:hAnsi="Times New Roman;serif"/>
                <w:b w:val="false"/>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Mortgage note payable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rFonts w:ascii="Times New Roman;serif" w:hAnsi="Times New Roman;serif"/>
          <w:b w:val="false"/>
          <w:color w:val="000000"/>
          <w:sz w:val="12"/>
        </w:rPr>
      </w:pPr>
      <w:r>
        <w:rPr>
          <w:rFonts w:ascii="Times New Roman;serif" w:hAnsi="Times New Roman;serif"/>
          <w:b w:val="false"/>
          <w:color w:val="000000"/>
          <w:sz w:val="12"/>
        </w:rPr>
        <w:t>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Book value of loans receivable represents the face amount, net of CECL reserve, unamortized loan fees and costs and accrual of exit fees, as applicable.</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Book value represents the face amount, net of deferred financing costs and discount.</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(3)    Face value represents the face amount, net of discount.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Estimates of fair value for cash, cash equivalents and restricted cash are measured using observable, quoted market prices, or Level 1 inputs. Estimates of fair value for loans receivable, mortgage-backed securities held-to-maturity, repurchase obligations, credit facility obligations and the collateralized loan and mortgage obligations are measured using unobservable inputs, or Level 3 inputs.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CMBS, Fair Value Option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discussed in Note 2, the Company elected the fair value option for certain CMBS mortgage loans in an effort to eliminate an accounting mismatch resulting from consolidation of the related mortgage loans held in securitization trusts. As of June 30, 2026, the fair value and unpaid principal balance of these CMBS mortgage loans, excluding the notional value of interest-only securities and before consolidation of the securitization mortgage loans, were $140,893 and $143,200, respectively. As a result of the consolidation of the mortgage loans, the total fair value balance of $1,754,665 represents the Company's economic interest in the asset. The vast majority of this fair value (all except $140,893 at June 30, 2026) is eliminated in consolidation of the related mortgage obligations before arriving at the GAAP balance for the fair value option investment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Variable Interest Entities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Consolidated Variable Interest Entities</w:t>
      </w:r>
    </w:p>
    <w:p>
      <w:pPr>
        <w:pStyle w:val="TextBody"/>
        <w:bidi w:val="0"/>
        <w:spacing w:lineRule="auto" w:line="288" w:before="0" w:after="120"/>
        <w:ind w:left="0" w:right="0" w:firstLine="450"/>
        <w:jc w:val="left"/>
        <w:rPr/>
      </w:pPr>
      <w:r>
        <w:rPr>
          <w:rFonts w:ascii="Times New Roman;serif" w:hAnsi="Times New Roman;serif"/>
          <w:b w:val="false"/>
          <w:color w:val="231F20"/>
          <w:sz w:val="20"/>
        </w:rPr>
        <w:t xml:space="preserve">The following table details the assets and liabilities of the Company's consolidated variable interest entities 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December 31, 2025</w:t>
      </w:r>
      <w:r>
        <w:rPr>
          <w:rFonts w:ascii="Times New Roman;serif" w:hAnsi="Times New Roman;serif"/>
          <w:b w:val="false"/>
          <w:color w:val="231F20"/>
          <w:sz w:val="20"/>
        </w:rPr>
        <w:t>:</w:t>
      </w:r>
    </w:p>
    <w:tbl>
      <w:tblPr>
        <w:tblW w:w="10205" w:type="dxa"/>
        <w:jc w:val="left"/>
        <w:tblInd w:w="0" w:type="dxa"/>
        <w:tblLayout w:type="fixed"/>
        <w:tblCellMar>
          <w:top w:w="28" w:type="dxa"/>
          <w:left w:w="28" w:type="dxa"/>
          <w:bottom w:w="28" w:type="dxa"/>
          <w:right w:w="28" w:type="dxa"/>
        </w:tblCellMar>
      </w:tblPr>
      <w:tblGrid>
        <w:gridCol w:w="1909"/>
        <w:gridCol w:w="1679"/>
        <w:gridCol w:w="1698"/>
        <w:gridCol w:w="109"/>
        <w:gridCol w:w="109"/>
        <w:gridCol w:w="109"/>
        <w:gridCol w:w="372"/>
        <w:gridCol w:w="1721"/>
        <w:gridCol w:w="191"/>
        <w:gridCol w:w="109"/>
        <w:gridCol w:w="109"/>
        <w:gridCol w:w="109"/>
        <w:gridCol w:w="279"/>
        <w:gridCol w:w="1291"/>
        <w:gridCol w:w="144"/>
        <w:gridCol w:w="109"/>
        <w:gridCol w:w="158"/>
      </w:tblGrid>
      <w:tr>
        <w:trPr/>
        <w:tc>
          <w:tcPr>
            <w:tcW w:w="190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3,881,049 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2,888,971 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in securitization trusts,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1,754,665 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5,763,975 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5,709,015 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3,317,879 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2,510,160 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obligations issued by securitization trusts,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4,938,775 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4,924,443 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Inclusive of multiple line items broken out on the consolidated balance sheets, such as receivable for investments sold and repaid and investment in real estate, held-for-investment.</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 xml:space="preserve">The Company has financed a portion of its loans through CLOs, which are considered VIEs. The Company has a controlling financial interest in the CLOs and, therefore, consolidates them on its balance sheets because the Company has both (i) the power to direct activities of the CLOs that most significantly affect the CLOs' economic performance and (ii) the obligation to absorb losses and the right to receive benefits of the CLOs that could potentially be significant to the CLOs. </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Assets held by the CLOs are restricted and can be used only to settle obligations of the CLOs. The liabilities are non-recourse to the Company and can only be satisfied from the assets of the CLOs.</w:t>
      </w:r>
    </w:p>
    <w:p>
      <w:pPr>
        <w:pStyle w:val="TextBody"/>
        <w:bidi w:val="0"/>
        <w:spacing w:lineRule="auto" w:line="288" w:before="120" w:after="120"/>
        <w:jc w:val="left"/>
        <w:rPr>
          <w:rFonts w:ascii="Times New Roman;serif" w:hAnsi="Times New Roman;serif"/>
          <w:b w:val="false"/>
          <w:i/>
          <w:color w:val="231F20"/>
          <w:sz w:val="20"/>
        </w:rPr>
      </w:pPr>
      <w:r>
        <w:rPr>
          <w:rFonts w:ascii="Times New Roman;serif" w:hAnsi="Times New Roman;serif"/>
          <w:b w:val="false"/>
          <w:i/>
          <w:color w:val="231F20"/>
          <w:sz w:val="20"/>
        </w:rPr>
        <w:t>Investment Securities</w:t>
      </w:r>
    </w:p>
    <w:p>
      <w:pPr>
        <w:pStyle w:val="TextBody"/>
        <w:bidi w:val="0"/>
        <w:spacing w:lineRule="auto" w:line="288" w:before="0" w:after="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Mortgage loans and obligations held in securitization trusts consolidated in accordance with ASC 810 are structured as pass through entities that receive principal and interest on the underlying collateral and distribute those payments to the certificate holders. The assets and other instruments held by these securitization entities are restricted and can only be used to fulfill the obligations of the entity. Additionally, the obligations of the securitization entities do not have any recourse to the general credit of any other consolidated entities, nor to the Company as the primary beneficiary. The mortgage obligations initially represent investment securities on the balance sheets (pre-consolidation). Upon consolidation of the mortgage loans and obligations, the associated investment securities are eliminated, as is the interest income related to those securities.</w:t>
      </w:r>
    </w:p>
    <w:p>
      <w:pPr>
        <w:pStyle w:val="TextBody"/>
        <w:bidi w:val="0"/>
        <w:spacing w:lineRule="auto" w:line="288" w:before="12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inclusion of the assets and liabilities of the mortgage loans and obligations in which the Company is deemed the primary beneficiary has no economic effect on the Company. Its exposure to the obligations of mortgage loans and obligations held in securitization is generally limited to its investment in these entities. The Company is not obligated to provide, nor has provided, any financial support for any of these consolidated structures.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Non-Consolidated Variable Interest Entities</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 xml:space="preserve">The Company invested in subordinated positions of CMBS trusts which are considered mortgage loans and obligations held in securitization trusts. The Company is not the primary beneficiary of the mortgage loans and obligations because it does not have the power to direct the activities that most significantly affect the mortgage loans and obligations' economic performance, nor does it provide guarantees or recourse to the mortgage loans and obligations other than standard representations and warranties and,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Variable Interest Entities (continued)</w:t>
      </w:r>
    </w:p>
    <w:p>
      <w:pPr>
        <w:pStyle w:val="TextBody"/>
        <w:bidi w:val="0"/>
        <w:spacing w:lineRule="auto" w:line="288" w:before="120" w:after="120"/>
        <w:jc w:val="left"/>
        <w:rPr/>
      </w:pPr>
      <w:r>
        <w:rPr>
          <w:rFonts w:ascii="Times New Roman;serif" w:hAnsi="Times New Roman;serif"/>
          <w:b w:val="false"/>
          <w:color w:val="231F20"/>
          <w:sz w:val="20"/>
        </w:rPr>
        <w:t>does not consolidate the mortgage loans and obligations on its balance sheets. The Company has classified its investment in the CMBS as either held-to-maturity or available-for-sale debt securities that are included on the Company's consolidated balance sheets and are part of the Company's ongoing impairment review. The Company's maximum exposure to loss of the securities is limited to its book value of $</w:t>
      </w:r>
      <w:r>
        <w:rPr>
          <w:rFonts w:ascii="Times New Roman;serif" w:hAnsi="Times New Roman;serif"/>
          <w:b w:val="false"/>
          <w:color w:val="000000"/>
          <w:sz w:val="20"/>
        </w:rPr>
        <w:t>219,212</w:t>
      </w:r>
      <w:r>
        <w:rPr>
          <w:color w:val="231F2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Company is not obligated to provide, nor has it provided financial support to these consolidated and non-consolidated mortgage loans and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Company enters into contracts that contain a variety of indemnification provisions. The Company’s maximum exposure under these arrangements is unknown; however, the Company has not had prior claims or losses pursuant to these contracts. Management of FS Real Estate Advisor has reviewed the Company’s existing contracts and expects the risk of loss to the Company to be remote.</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Company is not currently subject to any material legal proceedings and, to the Company’s knowledge, no material legal proceedings are threatened against the Company. From time to time, the Company may be party to certain legal proceedings in the ordinary course of business. While the outcome of any legal proceedings cannot be predicted with certainty, the Company does not expect that any such proceedings will have a material effect on its financial condition or results of operations.</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See Note 7 for a discussion of the Company’s commitments to FS Real Estate Advisor and its affiliates (including Future Standard) for the reimbursement of organization and offering costs funded by Future Standard and for the reimbursement of amounts paid or waived by FS Real Estate Advisor and Rialto under the Expense Limitation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12. Derivative Instrument</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 interest rate cap contract in order to limit its exposure against the variability of future interest rates on its variable interest rate borrowing. The Company has not designated this derivative as a hedge for accounting purposes. The Company has not entered into a master netting arrangement with its third-party counterparty and does not offset on its consolidated balance sheets the fair value amount recorded for its derivative instrument. The table below provides additional information regarding the Company's derivative instrument as of June 30, 2026.</w:t>
      </w:r>
    </w:p>
    <w:tbl>
      <w:tblPr>
        <w:tblW w:w="9746" w:type="dxa"/>
        <w:jc w:val="left"/>
        <w:tblInd w:w="0" w:type="dxa"/>
        <w:tblLayout w:type="fixed"/>
        <w:tblCellMar>
          <w:top w:w="28" w:type="dxa"/>
          <w:left w:w="28" w:type="dxa"/>
          <w:bottom w:w="28" w:type="dxa"/>
          <w:right w:w="28" w:type="dxa"/>
        </w:tblCellMar>
      </w:tblPr>
      <w:tblGrid>
        <w:gridCol w:w="620"/>
        <w:gridCol w:w="544"/>
        <w:gridCol w:w="546"/>
        <w:gridCol w:w="109"/>
        <w:gridCol w:w="109"/>
        <w:gridCol w:w="109"/>
        <w:gridCol w:w="287"/>
        <w:gridCol w:w="1125"/>
        <w:gridCol w:w="148"/>
        <w:gridCol w:w="109"/>
        <w:gridCol w:w="109"/>
        <w:gridCol w:w="109"/>
        <w:gridCol w:w="255"/>
        <w:gridCol w:w="256"/>
        <w:gridCol w:w="342"/>
        <w:gridCol w:w="109"/>
        <w:gridCol w:w="109"/>
        <w:gridCol w:w="109"/>
        <w:gridCol w:w="429"/>
        <w:gridCol w:w="429"/>
        <w:gridCol w:w="431"/>
        <w:gridCol w:w="109"/>
        <w:gridCol w:w="109"/>
        <w:gridCol w:w="109"/>
        <w:gridCol w:w="489"/>
        <w:gridCol w:w="489"/>
        <w:gridCol w:w="491"/>
        <w:gridCol w:w="109"/>
        <w:gridCol w:w="109"/>
        <w:gridCol w:w="109"/>
        <w:gridCol w:w="312"/>
        <w:gridCol w:w="690"/>
        <w:gridCol w:w="228"/>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Strike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Maturity Date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 Value</w:t>
            </w:r>
            <w:r>
              <w:rPr>
                <w:rFonts w:ascii="Times New Roman;serif" w:hAnsi="Times New Roman;serif"/>
                <w:b/>
                <w:color w:val="000000"/>
                <w:sz w:val="13"/>
              </w:rPr>
              <w:t>(1)</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540"/>
        <w:jc w:val="left"/>
        <w:rPr>
          <w:rFonts w:ascii="Times New Roman;serif" w:hAnsi="Times New Roman;serif"/>
          <w:b w:val="false"/>
          <w:color w:val="000000"/>
          <w:sz w:val="12"/>
        </w:rPr>
      </w:pPr>
      <w:r>
        <w:rPr>
          <w:rFonts w:ascii="Times New Roman;serif" w:hAnsi="Times New Roman;serif"/>
          <w:b w:val="false"/>
          <w:color w:val="000000"/>
          <w:sz w:val="12"/>
        </w:rPr>
        <w:t>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Included in Other assets in the Company's consolidated balance sheets.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In July 2026, the Company purchased a new interest rate cap which will mature on July 9, 2027.</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change in fair value of the Company's derivative financial instrument:</w:t>
      </w:r>
    </w:p>
    <w:tbl>
      <w:tblPr>
        <w:tblW w:w="10205"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530"/>
        <w:gridCol w:w="530"/>
        <w:gridCol w:w="532"/>
        <w:gridCol w:w="109"/>
        <w:gridCol w:w="109"/>
        <w:gridCol w:w="109"/>
        <w:gridCol w:w="644"/>
        <w:gridCol w:w="644"/>
        <w:gridCol w:w="646"/>
        <w:gridCol w:w="109"/>
        <w:gridCol w:w="109"/>
        <w:gridCol w:w="109"/>
        <w:gridCol w:w="217"/>
        <w:gridCol w:w="509"/>
        <w:gridCol w:w="120"/>
        <w:gridCol w:w="120"/>
        <w:gridCol w:w="120"/>
        <w:gridCol w:w="120"/>
        <w:gridCol w:w="217"/>
        <w:gridCol w:w="509"/>
        <w:gridCol w:w="120"/>
        <w:gridCol w:w="109"/>
        <w:gridCol w:w="109"/>
        <w:gridCol w:w="109"/>
        <w:gridCol w:w="200"/>
        <w:gridCol w:w="466"/>
        <w:gridCol w:w="111"/>
        <w:gridCol w:w="111"/>
        <w:gridCol w:w="111"/>
        <w:gridCol w:w="111"/>
        <w:gridCol w:w="200"/>
        <w:gridCol w:w="605"/>
        <w:gridCol w:w="173"/>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 of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Realized/Unrealized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Gain (Loss) Recognized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13. Segment Reporting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derives its revenues from its investment portfolio of commercial real estate debt investments. Additionally, the Company may foreclose on certain of the loans it originates and operate the property as real estate owned, the performance of which is evaluated with that of its commercial real estate debt investments. The Company’s investment portfolio is managed as a whole and resources are allocated and financial performance is assessed based on consolidated net income reported on the consolidated statement of operations by the Company’s Chief Executive Officer and the Global Head of Real Estate of the adviser, who are collectively the Company’s chief operating decision maker (“CODM”). Accordingly, the Company consists of a single operating and reportable segment.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the Company’s operations comprise of a single reporting segment, the segment assets are reflected on the accompanying consolidated balance sheets as “total assets” and the significant segment expenses are listed on the accompanying consolidated statements of operations. The accounting policies of the Company's single reportable segment are consistent with those described in Note 2 included in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14. Subsequent Events</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discussion of material events that have occurred subsequent to June 30, 2026 through the issuance of the consolidated financial statements.</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Foreclosures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Subsequent to quarter end, the Company acquired five multifamily properties located in Aurora, Colorado, Arlington, Texas, Austin, Texas, Roswell, Georgia, and Sandy Springs, Georgia, respectively, via foreclosure. Prior to acquisition, the loans were risk rated "5"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(in thousands, except share and per share amounts).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section should be read in conjunction with the unaudited consolidated financial statements and related notes thereto appearing elsewhere in this Quarterly Report on Form 10-Q. In this report, “we,” “us” and “our” refer to FS Credit Real Estate Income Trust,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may include statements that are not historical facts, including, without limitation, statements with regard to future events or the future performance or financial condition of the Company. Words such as “anticipate,” “believe,” “expect,” “intend,” “project” and “future” or similar expressions indicate a forward-looking statement, although not all forward-looking statements include these words. The forward-looking statements contained in this quarterly report on Form 10-Q are not guarantees of future performance or events and are subject to risks, uncertainties and other factors, some of which are beyond the Company’s control and difficult to predict and could cause actual results or future events to differ materially from those expressed or forecasted in the forward-looking statements for any reason, including those factors set forth in “Item 1A. Risk Factors” in the Company’s most recent Annual Report on Form 10-K and subsequent filings. Factors that could cause actual results or future events to differ materially include, without limitation: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Changes in the economy;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geo-political risks;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risks associated with possible disruption in the Company’s operations or the economy generally due to terrorism, natural disasters or pandemics;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future changes in laws or regulations and conditions in the Company’s operating area.</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based the forward-looking statements included in this quarterly report on Form 10-Q on information available to the Company on the date of this quarterly report on Form 10-Q. You should not place undue reliance on these forward-looking statements. Except as required by federal securities laws, the Company undertakes no obligation to update or revise any forward-looking statements, whether as a result of new information, future events or otherwise. Stockholders are advised to consult any additional disclosures that we may make directly to stockholders or through reports that we may file in the future with the SEC, including annual reports on Form 10-K, quarterly reports on Form 10-Q and current reports on Form 8-K. The forward-looking statements and projections contained in this quarterly report on Form 10-Q are excluded from the safe harbor protection provided by Section 27A of the Securities Act and Section 21E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231F20"/>
          <w:sz w:val="20"/>
        </w:rPr>
      </w:pPr>
      <w:r>
        <w:rPr>
          <w:rFonts w:ascii="Times New Roman;serif" w:hAnsi="Times New Roman;serif"/>
          <w:b/>
          <w:color w:val="231F20"/>
          <w:sz w:val="20"/>
        </w:rPr>
        <w:t>Introduction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were incorporated under the general corporation laws of the State of Maryland on November 7, 2016 and formally commenced investment operations on September 13, 2017. We are managed by FS Real Estate Advisor pursuant to an advisory agreement between us and FS Real Estate Advisor. FS Real Estate Advisor is a subsidiary of our sponsor, Future Standard, a national sponsor of alternative investment funds designed for the individual investor. FS Real Estate Advisor has engaged Rialto to act as its sub-adviser. We are currently conducting a public offering of up to $2,500,000 of our Class T, Class S, Class D, Class M and Class I shares of common stock pursuant to a registration statement on Form S-11 filed with the SEC consisting of up to $2,250,000 in shares in our primary offering and up to $250,000 in shares pursuant to our distribution reinvestment plan. We are also conducting a private offering of our Class I common stock to certain accredited investors.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elected to be taxed as a REIT for U.S. federal income tax purposes commencing with our taxable year ended December 31, 2017. We intend to be an investment vehicle of indefinite duration focused on real estate debt investments and other real estate-related assets. The shares of common stock are generally intended to be sold and repurchased by us on a continuous basis. We intend to conduct our operations so that we are not required to register under the 1940 Act.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primary investment objectives are to: provide current income in the form of regular, stable cash distributions to achieve an attractive distribution yield; preserve and protect invested capital; realize appreciation in NAV from proactive investment management and asset management; and provide an investment alternative for stockholders seeking to allocate a portion of their long-term investment portfolios to commercial real estate debt.</w:t>
      </w:r>
    </w:p>
    <w:p>
      <w:pPr>
        <w:pStyle w:val="TextBody"/>
        <w:bidi w:val="0"/>
        <w:spacing w:lineRule="auto" w:line="288" w:before="120" w:after="120"/>
        <w:ind w:left="0" w:right="0" w:firstLine="450"/>
        <w:jc w:val="left"/>
        <w:rPr/>
      </w:pPr>
      <w:r>
        <w:rPr>
          <w:rFonts w:ascii="Times New Roman;serif" w:hAnsi="Times New Roman;serif"/>
          <w:b w:val="false"/>
          <w:color w:val="000000"/>
          <w:sz w:val="20"/>
        </w:rPr>
        <w:t>Our investment strategy is to originate, acquire and manage a portfolio of senior loans secured by commercial real estate primarily in the United States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We are focused on senior floating-rate mortgage loans, but we may also invest in other real estate-related assets, including: (i) other commercial real estate mortgage loans, including fixed-rate loans, subordinated loans, B-Notes, mezzanine loans and participations in commercial mortgage loans; and (ii) commercial real estate securities, including CMBS, unsecured debt of listed and non-listed REITs, collateralized debt obligations and equity or equity-linked securities. To a lesser extent we may invest in warehouse loans secured by commercial or residential mortgages, credit loans to commercial real estate companies, construction loans, residential mortgage-backed securities, or RMBS, and portfolios of single-family home mortgages.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success of our activities is affected by general economic and market conditions, including, among others, interest rates, availability of credit, inflation rates, economic uncertainty, changes in laws and trade barriers. These factors could affect the level and volatility of securities prices and the liquidity of our investments. Volatility or illiquidity could impair our profitability or result in losses. These factors also could adversely affect the availability or cost of our leverage, which would result in lower returns.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Macroeconomic Environment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improvement in commercial real estate (CRE) sentiment during the first quarter of 2026 moderated in the second quarter of 2026, as geopolitical uncertainty, persistent inflation and renewed upward pressure on interest rates caused many investors to adopt a more cautious stance. CRE transaction activity and pricing remained uneven during the quarter. Higher-for-longer rates and heightened macro uncertainty delayed a broader recovery in deal volume, which may hamper deal activity during the second half of 2026.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Despite these challenges, we believe senior CRE debt remains attractive for its income potential and senior position in the capital structure. Approximately $2.1 trillion in CRE debt—more than a third of all outstanding balances—is set to mature by the end of 2028, creating the potential for significant demand for debt financing and opportunities for lenders. However, the investment environment remains subject to meaningful risks. A macroeconomic downturn could pressure CRE valuations and borrower performance. Distress remains elevated in select sectors, in part because fewer workouts were resolved during the second quarter of 2026. As market conditions evolve, disciplined underwriting and selectivity will continue to be critical to navigating both risks and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Portfolio Overview</w:t>
      </w:r>
    </w:p>
    <w:p>
      <w:pPr>
        <w:pStyle w:val="TextBody"/>
        <w:bidi w:val="0"/>
        <w:spacing w:lineRule="auto" w:line="288" w:before="120" w:after="12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Loan Portfolio Overview</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activity in our loans receivable portfolio for the three and six months ended June 30, 2026 and 2025:</w:t>
      </w:r>
    </w:p>
    <w:tbl>
      <w:tblPr>
        <w:tblW w:w="8067" w:type="dxa"/>
        <w:jc w:val="left"/>
        <w:tblInd w:w="0" w:type="dxa"/>
        <w:tblLayout w:type="fixed"/>
        <w:tblCellMar>
          <w:top w:w="28" w:type="dxa"/>
          <w:left w:w="28" w:type="dxa"/>
          <w:bottom w:w="28" w:type="dxa"/>
          <w:right w:w="28" w:type="dxa"/>
        </w:tblCellMar>
      </w:tblPr>
      <w:tblGrid>
        <w:gridCol w:w="663"/>
        <w:gridCol w:w="583"/>
        <w:gridCol w:w="584"/>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fundings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repayments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new loan originations and additional fundings made under existing loans.</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Excludes payment held by servicer and recorded as "Receivable for investments sold and repaid" as of December 31, 2025.</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Inclusive of $40,676 of amortized cost for a loan modification accounted for as a new loan for GAAP purposes. Effective on March 27, 2026, a new collateral secured loan with a new borrower was entered into from a previously owned risk rated 3 senior loan with a principal balance of $40,680. As a part of the new agreement, the new borrower agreed to pay the Company an amount equal to $180. The new loan has a risk rating of 3 as of June 30, 2026.</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overall statistics for our loans receivable portfolio as of June 30, 2026 and December 31, 2025:</w:t>
      </w:r>
    </w:p>
    <w:tbl>
      <w:tblPr>
        <w:tblW w:w="8676" w:type="dxa"/>
        <w:jc w:val="center"/>
        <w:tblInd w:w="0" w:type="dxa"/>
        <w:tblLayout w:type="fixed"/>
        <w:tblCellMar>
          <w:top w:w="28" w:type="dxa"/>
          <w:left w:w="28" w:type="dxa"/>
          <w:bottom w:w="28" w:type="dxa"/>
          <w:right w:w="28" w:type="dxa"/>
        </w:tblCellMar>
      </w:tblPr>
      <w:tblGrid>
        <w:gridCol w:w="1426"/>
        <w:gridCol w:w="1256"/>
        <w:gridCol w:w="1262"/>
        <w:gridCol w:w="109"/>
        <w:gridCol w:w="109"/>
        <w:gridCol w:w="109"/>
        <w:gridCol w:w="1135"/>
        <w:gridCol w:w="586"/>
        <w:gridCol w:w="588"/>
        <w:gridCol w:w="109"/>
        <w:gridCol w:w="109"/>
        <w:gridCol w:w="109"/>
        <w:gridCol w:w="278"/>
        <w:gridCol w:w="1288"/>
        <w:gridCol w:w="203"/>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7,845,350 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Unfunded loan commitments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cash coupon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+3.31%</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all-in yield</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+3.41%</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maximum maturity (years)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We may be required to provide funding when requested by the borrower in accordance with the terms of the underlying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Our floating rate loans are expressed as a spread over SOFR. In addition to cash coupon, all-in yield includes accretion of discount (amortization of premium) and accrual of exit fees. For loans placed on non-accrual, the interest rate used in calculating weighted-average cash coupon and weighted-average all-in yield is 0%.</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As of June 30, 2026 and December 31, 2025, the one-month SOFR rate was 3.65% and 3.69%, respectively.</w:t>
      </w:r>
    </w:p>
    <w:p>
      <w:pPr>
        <w:pStyle w:val="TextBody"/>
        <w:bidi w:val="0"/>
        <w:spacing w:lineRule="auto" w:line="288" w:before="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Maximum maturity assumes all extension options are exercised by the borrowers; however loans may be repaid prior to such date.</w:t>
      </w:r>
    </w:p>
    <w:p>
      <w:pPr>
        <w:pStyle w:val="TextBody"/>
        <w:bidi w:val="0"/>
        <w:spacing w:lineRule="auto" w:line="288" w:before="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our loan receivable, held-for-investment portfolio, on a loan-by-loan basis, as of June 30, 2026:</w:t>
      </w:r>
    </w:p>
    <w:tbl>
      <w:tblPr>
        <w:tblW w:w="12758" w:type="dxa"/>
        <w:jc w:val="left"/>
        <w:tblInd w:w="0" w:type="dxa"/>
        <w:tblLayout w:type="fixed"/>
        <w:tblCellMar>
          <w:top w:w="28" w:type="dxa"/>
          <w:left w:w="28" w:type="dxa"/>
          <w:bottom w:w="28" w:type="dxa"/>
          <w:right w:w="28" w:type="dxa"/>
        </w:tblCellMar>
      </w:tblPr>
      <w:tblGrid>
        <w:gridCol w:w="124"/>
        <w:gridCol w:w="109"/>
        <w:gridCol w:w="109"/>
        <w:gridCol w:w="235"/>
        <w:gridCol w:w="160"/>
        <w:gridCol w:w="161"/>
        <w:gridCol w:w="109"/>
        <w:gridCol w:w="109"/>
        <w:gridCol w:w="109"/>
        <w:gridCol w:w="320"/>
        <w:gridCol w:w="320"/>
        <w:gridCol w:w="32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35"/>
        <w:gridCol w:w="235"/>
        <w:gridCol w:w="236"/>
        <w:gridCol w:w="109"/>
        <w:gridCol w:w="109"/>
        <w:gridCol w:w="109"/>
        <w:gridCol w:w="170"/>
        <w:gridCol w:w="170"/>
        <w:gridCol w:w="171"/>
        <w:gridCol w:w="109"/>
        <w:gridCol w:w="109"/>
        <w:gridCol w:w="109"/>
        <w:gridCol w:w="280"/>
        <w:gridCol w:w="280"/>
        <w:gridCol w:w="281"/>
        <w:gridCol w:w="109"/>
        <w:gridCol w:w="109"/>
        <w:gridCol w:w="109"/>
        <w:gridCol w:w="505"/>
        <w:gridCol w:w="250"/>
        <w:gridCol w:w="251"/>
        <w:gridCol w:w="109"/>
        <w:gridCol w:w="109"/>
        <w:gridCol w:w="109"/>
        <w:gridCol w:w="389"/>
        <w:gridCol w:w="286"/>
        <w:gridCol w:w="256"/>
        <w:gridCol w:w="109"/>
        <w:gridCol w:w="109"/>
        <w:gridCol w:w="109"/>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Origination Date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Coupon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All-in Yield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Maturity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LTV</w:t>
            </w:r>
            <w:r>
              <w:rPr>
                <w:rFonts w:ascii="Times New Roman;serif" w:hAnsi="Times New Roman;serif"/>
                <w:b/>
                <w:color w:val="000000"/>
                <w:sz w:val="10"/>
              </w:rPr>
              <w:t>(1)</w:t>
            </w:r>
          </w:p>
        </w:tc>
      </w:tr>
      <w:tr>
        <w:trPr/>
        <w:tc>
          <w:tcPr>
            <w:tcW w:w="12758"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w:t>
            </w:r>
          </w:p>
        </w:tc>
      </w:tr>
      <w:tr>
        <w:trPr/>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Las Colinas,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Queens,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Mesa,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Temecula,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Reseda,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Phoenix,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Sunny Isles Beach,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Venice,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Richardson,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Indianapolis,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Tucson,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Jacksonville,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Venice,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Davenport,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Goodyear,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 Land, 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Maitland,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Indianapolis,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Jacksonville,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Humble,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 Pleasant, 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Humble,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Charleston, 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Roswell,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Jacksonville,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McKinney,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Jacksonville,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Omaha, 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Sandy Springs,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Southaven,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Evanston,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tbl>
      <w:tblPr>
        <w:tblW w:w="13253" w:type="dxa"/>
        <w:jc w:val="left"/>
        <w:tblInd w:w="0" w:type="dxa"/>
        <w:tblLayout w:type="fixed"/>
        <w:tblCellMar>
          <w:top w:w="28" w:type="dxa"/>
          <w:left w:w="28" w:type="dxa"/>
          <w:bottom w:w="28" w:type="dxa"/>
          <w:right w:w="28" w:type="dxa"/>
        </w:tblCellMar>
      </w:tblPr>
      <w:tblGrid>
        <w:gridCol w:w="124"/>
        <w:gridCol w:w="109"/>
        <w:gridCol w:w="109"/>
        <w:gridCol w:w="235"/>
        <w:gridCol w:w="160"/>
        <w:gridCol w:w="161"/>
        <w:gridCol w:w="109"/>
        <w:gridCol w:w="109"/>
        <w:gridCol w:w="109"/>
        <w:gridCol w:w="320"/>
        <w:gridCol w:w="320"/>
        <w:gridCol w:w="321"/>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35"/>
        <w:gridCol w:w="235"/>
        <w:gridCol w:w="236"/>
        <w:gridCol w:w="109"/>
        <w:gridCol w:w="109"/>
        <w:gridCol w:w="109"/>
        <w:gridCol w:w="260"/>
        <w:gridCol w:w="170"/>
        <w:gridCol w:w="171"/>
        <w:gridCol w:w="109"/>
        <w:gridCol w:w="109"/>
        <w:gridCol w:w="109"/>
        <w:gridCol w:w="280"/>
        <w:gridCol w:w="280"/>
        <w:gridCol w:w="281"/>
        <w:gridCol w:w="109"/>
        <w:gridCol w:w="109"/>
        <w:gridCol w:w="109"/>
        <w:gridCol w:w="424"/>
        <w:gridCol w:w="331"/>
        <w:gridCol w:w="251"/>
        <w:gridCol w:w="109"/>
        <w:gridCol w:w="109"/>
        <w:gridCol w:w="109"/>
        <w:gridCol w:w="389"/>
        <w:gridCol w:w="286"/>
        <w:gridCol w:w="256"/>
        <w:gridCol w:w="109"/>
        <w:gridCol w:w="109"/>
        <w:gridCol w:w="109"/>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Origination Date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Coupon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All-in Yield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Maturity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LTV</w:t>
            </w:r>
            <w:r>
              <w:rPr>
                <w:rFonts w:ascii="Times New Roman;serif" w:hAnsi="Times New Roman;serif"/>
                <w:b/>
                <w:color w:val="000000"/>
                <w:sz w:val="10"/>
              </w:rPr>
              <w:t>(1)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Boca Raton,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Euless,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Rogers, 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Clearwater,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Hackensack,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Arlington,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Mesquite,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Seattle,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Queens,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Kent, 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Lithonia,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Brooklyn,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Mesa,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Phoenix,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r>
      <w:tr>
        <w:trPr/>
        <w:tc>
          <w:tcPr>
            <w:tcW w:w="21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4,233,156 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3"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w:t>
            </w:r>
          </w:p>
        </w:tc>
      </w:tr>
      <w:tr>
        <w:trPr/>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Addison,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Coral Gables,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Miami,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Coral Gables,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Lauderdale,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Milwaukee, WI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Memphis, 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Richardson,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Rockville,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Bronx,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21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3"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Industrial</w:t>
            </w:r>
          </w:p>
        </w:tc>
      </w:tr>
      <w:tr>
        <w:trPr/>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7/8/2031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Bayonne,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tbl>
      <w:tblPr>
        <w:tblW w:w="13272" w:type="dxa"/>
        <w:jc w:val="left"/>
        <w:tblInd w:w="0" w:type="dxa"/>
        <w:tblLayout w:type="fixed"/>
        <w:tblCellMar>
          <w:top w:w="28" w:type="dxa"/>
          <w:left w:w="28" w:type="dxa"/>
          <w:bottom w:w="28" w:type="dxa"/>
          <w:right w:w="28" w:type="dxa"/>
        </w:tblCellMar>
      </w:tblPr>
      <w:tblGrid>
        <w:gridCol w:w="141"/>
        <w:gridCol w:w="124"/>
        <w:gridCol w:w="126"/>
        <w:gridCol w:w="235"/>
        <w:gridCol w:w="160"/>
        <w:gridCol w:w="161"/>
        <w:gridCol w:w="109"/>
        <w:gridCol w:w="109"/>
        <w:gridCol w:w="109"/>
        <w:gridCol w:w="320"/>
        <w:gridCol w:w="320"/>
        <w:gridCol w:w="321"/>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35"/>
        <w:gridCol w:w="235"/>
        <w:gridCol w:w="236"/>
        <w:gridCol w:w="109"/>
        <w:gridCol w:w="109"/>
        <w:gridCol w:w="109"/>
        <w:gridCol w:w="170"/>
        <w:gridCol w:w="170"/>
        <w:gridCol w:w="171"/>
        <w:gridCol w:w="109"/>
        <w:gridCol w:w="109"/>
        <w:gridCol w:w="109"/>
        <w:gridCol w:w="280"/>
        <w:gridCol w:w="280"/>
        <w:gridCol w:w="281"/>
        <w:gridCol w:w="109"/>
        <w:gridCol w:w="109"/>
        <w:gridCol w:w="109"/>
        <w:gridCol w:w="524"/>
        <w:gridCol w:w="366"/>
        <w:gridCol w:w="251"/>
        <w:gridCol w:w="109"/>
        <w:gridCol w:w="109"/>
        <w:gridCol w:w="109"/>
        <w:gridCol w:w="345"/>
        <w:gridCol w:w="255"/>
        <w:gridCol w:w="256"/>
        <w:gridCol w:w="109"/>
        <w:gridCol w:w="109"/>
        <w:gridCol w:w="109"/>
        <w:gridCol w:w="511"/>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Origination Date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Coupon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All-in Yield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Maturity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LTV</w:t>
            </w:r>
            <w:r>
              <w:rPr>
                <w:rFonts w:ascii="Times New Roman;serif" w:hAnsi="Times New Roman;serif"/>
                <w:b/>
                <w:color w:val="000000"/>
                <w:sz w:val="10"/>
              </w:rPr>
              <w:t>(1)</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 Windsor,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Sparks,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Detroit, 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Sandy Springs,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Valley Cottage,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Gilbert,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Jamaica,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Morrow,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Delanco,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Glen Allen, 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Elizabeth,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2"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Hospitality</w:t>
            </w:r>
          </w:p>
        </w:tc>
      </w:tr>
      <w:tr>
        <w:trPr/>
        <w:tc>
          <w:tcPr>
            <w:tcW w:w="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Cambridge,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117</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Adairsville,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Miami,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Miami,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Davis,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Gaithersburg,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Mesa,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Macon,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2"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Mixed Use</w:t>
            </w:r>
          </w:p>
        </w:tc>
      </w:tr>
      <w:tr>
        <w:trPr/>
        <w:tc>
          <w:tcPr>
            <w:tcW w:w="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Northridge,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Burlington,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 Hollywood,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2"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r>
      <w:tr>
        <w:trPr/>
        <w:tc>
          <w:tcPr>
            <w:tcW w:w="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Westminster, CO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Charlottesville, 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Chula Vista,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Yonkers,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Brooklyn,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2"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Various</w:t>
            </w:r>
          </w:p>
        </w:tc>
      </w:tr>
      <w:tr>
        <w:trPr/>
        <w:tc>
          <w:tcPr>
            <w:tcW w:w="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139</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 Barbara, CA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8,490,979 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223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(69,864)</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tbl>
      <w:tblPr>
        <w:tblW w:w="11578" w:type="dxa"/>
        <w:jc w:val="left"/>
        <w:tblInd w:w="0" w:type="dxa"/>
        <w:tblLayout w:type="fixed"/>
        <w:tblCellMar>
          <w:top w:w="28" w:type="dxa"/>
          <w:left w:w="28" w:type="dxa"/>
          <w:bottom w:w="28" w:type="dxa"/>
          <w:right w:w="28" w:type="dxa"/>
        </w:tblCellMar>
      </w:tblPr>
      <w:tblGrid>
        <w:gridCol w:w="124"/>
        <w:gridCol w:w="109"/>
        <w:gridCol w:w="109"/>
        <w:gridCol w:w="160"/>
        <w:gridCol w:w="160"/>
        <w:gridCol w:w="161"/>
        <w:gridCol w:w="109"/>
        <w:gridCol w:w="109"/>
        <w:gridCol w:w="109"/>
        <w:gridCol w:w="320"/>
        <w:gridCol w:w="320"/>
        <w:gridCol w:w="321"/>
        <w:gridCol w:w="109"/>
        <w:gridCol w:w="109"/>
        <w:gridCol w:w="109"/>
        <w:gridCol w:w="165"/>
        <w:gridCol w:w="165"/>
        <w:gridCol w:w="166"/>
        <w:gridCol w:w="109"/>
        <w:gridCol w:w="109"/>
        <w:gridCol w:w="109"/>
        <w:gridCol w:w="255"/>
        <w:gridCol w:w="255"/>
        <w:gridCol w:w="256"/>
        <w:gridCol w:w="109"/>
        <w:gridCol w:w="109"/>
        <w:gridCol w:w="109"/>
        <w:gridCol w:w="196"/>
        <w:gridCol w:w="871"/>
        <w:gridCol w:w="109"/>
        <w:gridCol w:w="109"/>
        <w:gridCol w:w="109"/>
        <w:gridCol w:w="109"/>
        <w:gridCol w:w="235"/>
        <w:gridCol w:w="235"/>
        <w:gridCol w:w="236"/>
        <w:gridCol w:w="109"/>
        <w:gridCol w:w="109"/>
        <w:gridCol w:w="109"/>
        <w:gridCol w:w="170"/>
        <w:gridCol w:w="170"/>
        <w:gridCol w:w="171"/>
        <w:gridCol w:w="109"/>
        <w:gridCol w:w="109"/>
        <w:gridCol w:w="109"/>
        <w:gridCol w:w="280"/>
        <w:gridCol w:w="280"/>
        <w:gridCol w:w="281"/>
        <w:gridCol w:w="109"/>
        <w:gridCol w:w="109"/>
        <w:gridCol w:w="109"/>
        <w:gridCol w:w="250"/>
        <w:gridCol w:w="250"/>
        <w:gridCol w:w="251"/>
        <w:gridCol w:w="109"/>
        <w:gridCol w:w="109"/>
        <w:gridCol w:w="109"/>
        <w:gridCol w:w="255"/>
        <w:gridCol w:w="255"/>
        <w:gridCol w:w="256"/>
        <w:gridCol w:w="109"/>
        <w:gridCol w:w="109"/>
        <w:gridCol w:w="109"/>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Origination Date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Coupon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All-in Yield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Maturity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LTV</w:t>
            </w:r>
            <w:r>
              <w:rPr>
                <w:rFonts w:ascii="Times New Roman;serif" w:hAnsi="Times New Roman;serif"/>
                <w:b/>
                <w:color w:val="000000"/>
                <w:sz w:val="10"/>
              </w:rPr>
              <w:t>(1)</w:t>
            </w:r>
          </w:p>
        </w:tc>
      </w:tr>
      <w:tr>
        <w:trPr/>
        <w:tc>
          <w:tcPr>
            <w:tcW w:w="211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8,421,115 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Date loan was originated or acquired by us, and the LTV, as of such date. Dates and LTV are not updated for subsequent loan modifications or upsizes.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The weighted-average cash coupon and all-in yield are expressed as a spread over the relevant floating benchmark rate, which is SOFR. In addition to cash coupon, all-in yield includes accretion of discount (amortization of premium) and accrual of exit fees. For loans placed on non-accrual, the interest rate used in calculating weighted-average cash coupon and weighted-average all-in yield is 0%.</w:t>
      </w:r>
    </w:p>
    <w:p>
      <w:pPr>
        <w:pStyle w:val="TextBody"/>
        <w:bidi w:val="0"/>
        <w:spacing w:lineRule="auto" w:line="288" w:before="0" w:after="24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Maximum maturity assumes all extension options are exercised by the borrower, however loans may be repaid prior to such date.</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ind w:left="0" w:right="0" w:firstLine="450"/>
        <w:jc w:val="left"/>
        <w:rPr/>
      </w:pPr>
      <w:r>
        <w:rPr>
          <w:rFonts w:ascii="Times New Roman;serif" w:hAnsi="Times New Roman;serif"/>
          <w:b w:val="false"/>
          <w:color w:val="000000"/>
          <w:sz w:val="20"/>
        </w:rPr>
        <w:t>The following table sets forth information regarding our unaudited consolidated results of operations for the three and six months ended June 30, 2026 and 2025:</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82"/>
        <w:gridCol w:w="1259"/>
        <w:gridCol w:w="122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8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mortgage loans held in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expense on mortgage obligations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Expense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Expense recoupment to sponsor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mortgage-backed securities, fair value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mortgage loans and obligations held in securitization trusts,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real estate,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FS Credit Real Estate Income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Interest Income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is generated on our interest-earning assets less related interest-bearing liabilities. The decrease in interest income and interest expense was primarily attributable to lower average index rates for the six months ended June 30, 2026 as compared to the six months ended June 30, 2025. The increase in interest income on mortgage loans held in securitization trusts, and interest expense on mortgage obligations issued by securitization trusts was attributable to the consolidation of securitization vehicles.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Other Expenses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expenses include management and performance fees payable to FS Real Estate Advisor and general and administrative expenses. General and administrative expenses include administrative services expenses and fees, auditing and professional fees, independent director fees, transfer agent fees, loan servicing expenses and other costs associated with operating our business. The increase in other expenses for the six months ended June 30, 2026 as compared to the six months ended June 30, 2025 can primarily be attributed to the increase in real estate operating expenses and depreciation and amortization as a result of the acquisition of real estate properties through foreclosure during the back half of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Expense Limitation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 Expense Limitation Agreement with FS Real Estate Advisor and Rialto pursuant to which FS Real Estate Advisor and Rialto have agreed to waive reimbursement of or pay, on a quarterly basis, our annualized ordinary operating expenses for such quarter to the extent such expenses exceed 1.5% per annum of our average net assets attributable to each of our classes of common stock. Ordinary operating expenses for each class of common stock consist of all ordinary expenses attributable to such class, including administration fees, transfer agent fees, fees paid to our board of directors, loan servicing expenses, administrative services expenses and fees, and related costs associated with legal, regulatory compliance and investor relations, but excluding the following: (a) management fees and performance fees paid to FS Real Estate Advisor pursuant to the Advisory Agreement, (b) interest expense and other financing costs, (c) taxes, (d) distribution or shareholder servicing fees and (e) unusual, unexpected and/or nonrecurring expenses. We will repay FS Real Estate Advisor or Rialto on a quarterly basis any ordinary operating expenses previously waived or paid, but only if the reimbursement would not cause the then-current expense limitation, if any, to be exceeded. In addition, the reimbursement of expenses will be made only if payable not more than three years from the end of the fiscal quarter in which the expenses were paid or waived.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 Company had $0 and $1,247, respectively, of reimbursements due from FS Real Estate Advisor and Rialto.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$406 expense recoupments were paid to FS Real Estate Advisor and Rialto. As of June 30, 2026, there were $ of expense recoupments payable to FS Real Estate Advisor and Rialto.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Loss Expense, Net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our expected credit loss reserve decreased by $7,680. The decrease was primarily driven by the macroeconomic assumptions utilized in determining our general current expected credit loss ("CECL") reserve. Credit loss expenses relate to changes in the Company’s general and specific CECL reserves for the Company’s Loans receivable, held-for-investment and Mortgage-backed securities, held-to-maturity portfolios, and the credit loss allowance associated with the Company’s Mortgage-backed securities available-for-sale.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Funds from Operations and Modified Funds from Operations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use Funds from Operations ("FFO"), a widely accepted non-GAAP financial metric, to evaluate our performance. FFO provides a supplemental measure to compare our performance and operations to other REITs. Due to certain unique operating characteristics of real estate companies, the National Association of Real Estate Investment Trusts ("NAREIT") has promulgated a standard known as FFO, which it believes more accurately reflects the operating performance of a REIT. As defined by NAREIT, FFO means net income computed in accordance with GAAP, excluding gains (or losses) from sales of operating property, plus depreciation and amortization and after adjustments for unconsolidated entities. In addition, NAREIT has further clarified the FFO definition to add-back impairment write-downs of depreciable real estate or of investments in unconsolidated entities that are driven by measurable decreases in the fair value of depreciable real estate and to exclude the earnings impacts of cumulative effects of accounting changes. We have adopted the NAREIT definition for computing FFO.</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the unique features of publicly registered, non-listed REITs, the Institute for Portfolio Alternatives ("IPA"), an industry trade group, published a standardized non-GAAP financial measure known as Modified Funds from Operations ("MFFO"), which the IPA has promulgated as a supplemental measure for publicly registered non-listed REITs and which may be another appropriate supplemental measure to reflect the operating performance of a non-listed REIT.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IPA defines MFFO as FFO adjusted for acquisition fees and expenses, amounts relating to straight line rents and amortization of premiums or accretion of discounts on debt investments, non-recurring impairments of real estate-related investments, mark-to-market adjustments included in net income, non-recurring gains or losses included in net income from the extinguishment or sale of debt, hedges, foreign exchange, derivatives or securities holdings where trading of such holdings is not a fundamental attribute of the business plan, unrealized gains or losses resulting from consolidation from, or deconsolidation to, equity accounting, and after adjustments for consolidated and unconsolidated partnerships and joint ventures.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MFFO may be a recognized measure of operating performance within the non-listed REIT industry, MFFO and the adjustments used to calculate it may be useful in order to evaluate our performance against other non-listed REITs. Like FFO, MFFO is not equivalent to our net income or loss as determined under GAAP, as detailed in the table below, and MFFO may not be a useful measure of the impact of long-term operating performance on value if we continue to acquire a significant amount of investments.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presentation of FFO and MFFO may not be comparable to other similarly titled measures presented by other REITs. We believe that the use of FFO and MFFO provides a more complete understanding of our operating performance to stockholders and to management, and when compared year over year, reflects the impact on our operations from trends in operating costs, general and administrative expenses, and interest costs. Neither FFO nor MFFO is intended to be an alternative to “net income” or to “cash flows from operating activities” as determined by GAAP as a measure of our capacity to pay distributions. Management uses FFO and MFFO to compare our operating performance to that of other REITs and to assess our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Neither the SEC, any other regulatory body nor NAREIT has passed judgment on the acceptability of the adjustments that we use to calculate FFO or MFFO. In the future, the SEC, another regulatory body or NAREIT may decide to standardize the allowable adjustments across the non-listed REIT industry and we would have to adjust our calculation and characterization of FFO or MFFO.</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FFO and MFFO are calculated for the three and six months ended June 30, 2026 and 2025 as follows:</w:t>
      </w:r>
    </w:p>
    <w:tbl>
      <w:tblPr>
        <w:tblW w:w="10205" w:type="dxa"/>
        <w:jc w:val="left"/>
        <w:tblInd w:w="0" w:type="dxa"/>
        <w:tblLayout w:type="fixed"/>
        <w:tblCellMar>
          <w:top w:w="28" w:type="dxa"/>
          <w:left w:w="28" w:type="dxa"/>
          <w:bottom w:w="28" w:type="dxa"/>
          <w:right w:w="28" w:type="dxa"/>
        </w:tblCellMar>
      </w:tblPr>
      <w:tblGrid>
        <w:gridCol w:w="1965"/>
        <w:gridCol w:w="1470"/>
        <w:gridCol w:w="1457"/>
        <w:gridCol w:w="221"/>
        <w:gridCol w:w="757"/>
        <w:gridCol w:w="114"/>
        <w:gridCol w:w="114"/>
        <w:gridCol w:w="114"/>
        <w:gridCol w:w="114"/>
        <w:gridCol w:w="221"/>
        <w:gridCol w:w="757"/>
        <w:gridCol w:w="114"/>
        <w:gridCol w:w="109"/>
        <w:gridCol w:w="109"/>
        <w:gridCol w:w="109"/>
        <w:gridCol w:w="211"/>
        <w:gridCol w:w="721"/>
        <w:gridCol w:w="109"/>
        <w:gridCol w:w="109"/>
        <w:gridCol w:w="109"/>
        <w:gridCol w:w="109"/>
        <w:gridCol w:w="211"/>
        <w:gridCol w:w="721"/>
        <w:gridCol w:w="160"/>
      </w:tblGrid>
      <w:tr>
        <w:trPr/>
        <w:tc>
          <w:tcPr>
            <w:tcW w:w="196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(GAAP)</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arrive at funds from operations: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 and amortization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arrive at modified funds from operations: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mortgage-backed securities held-to-maturity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rental income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interest rate cap</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 in unrealized (gain) loss on mortgage-backed securities fair value option </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mortgage loans and obligations held in securitization trusts,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real estate, held-for-sale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Modified funds from operations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NAV per Share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FS Real Estate Advisor calculates our NAV per share in accordance with the valuation guidelines approved by our board of directors for the purposes of establishing a price for shares sold in our public offering as well as establishing a repurchase price for shares repurchased pursuant to our Share Repurchase Plan.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general, our investments are valued by FS Real Estate Advisor based on market quotations, at amortized cost or at fair value determined in accordance with GAAP. In accordance with the valuation guidelines approved by our board of directors, FS Real Estate Advisor calculates our NAV per share for each class of our common stock as of the last calendar day of each month. For purposes of calculating our NAV, FS Real Estate Advisor uses the following valuation methods: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Commercial real estate debt classified as held-for-investment is valued at amortized cost, net of unamortized acquisition premiums or discounts, loan fees, and origination costs. Mortgage-backed securities are classified as held-to-maturity when we intend to and can hold such securities until maturity and are valued at amortized cost, net of unamortized acquisition premium or discount. Our general CECL reserve is not considered impairment and is excluded from our NAV calculation consistent with other unrealized gains (losses) for investments expected to be held-to-maturity pursuant to our existing policy for calculating NAV. We recognize such potential credit losses in the NAV calculation if and when a loan is deemed impaired. Impairment is indicated when it is deemed probable that we will not be able to collect all amounts due to us pursuant to the contractual terms of the loan. If a loan is determined to be impaired, the loan is written down through a loan specific reserve. See Note 2 to our unaudited consolidated financial statements included herein for additional information regarding our accounting for impaired loans, including significant judgments and assumptions included. At least quarterly, FS Real Estate Advisor, with assistance from our sub-adviser, evaluates for impairment each loan classified as held-for-investment.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Mortgage-backed securities that we do not classify as held-to-maturity are reported at fair value. On a monthly basis, FS Real Estate Advisor values such securities using quotations obtained from an independent third-party pricing service, which provides prevailing bid and ask prices that are screened for validity by the third-party pricing service on the valuation date. For securities for which there is no readily available market quotations, FS Real Estate Advisor values the security using current market data and a valuation provided by an independent third-party valuation firm. Each investment is valued by FS Real Estate Advisor no less frequently than quarterly.</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Purchased commercial real estate properties are initially valued at cost, which is expected to represent fair value at that time. FS Real Estate Advisor, with assistance from our sub-adviser, expects to receive an appraisal performed by an independent third-party appraisal firm on each property purchased prior to or upon acquisition. Foreclosed properties are initially measured at fair value by the adviser. Each property will then be valued by an independent third party monthly, commencing with the month subsequent to acquisition. Properties accounted for as held-for-investment are reported at fair value, while properties accounted for as held-for-sale are reported at fair value less estimated costs to sell. The independent third-party valuation firm will provide a monthly valuation for each property using the discounted cash flow methodology (income approach) as a primary methodology, although other industry standard methodologies may be used, including the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comparison and replacement cost approaches. Further, the independent third-party valuation firm will provide an annual valuation for each property, which will be consistent with its monthly valuation but will also reflect (i) property specific factors such as property income, cash flow forecasts, capital improvements and key performance indicators (e.g. occupancy rates) and (ii) market specific factors such as discount rates, capitalization rates and market sale transactions.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Liabilities include repurchase agreements payable, credit facility payable, collateralized loan obligations, mortgage obligations, fees payable to FS Real Estate Advisor and the dealer manager, accounts payable, accrued operating expenses, any portfolio-level credit facilities, and other liabilities. All liabilities are valued at amounts payable, net of unamortized premium or discount, and net of unamortized debt issuance costs. Liabilities related to stockholder servicing fees allocable to Class T, Class S, Class D and Class M shares are only included in the NAV calculation for those classes. Liabilities related to the base management fee is a class-specific expense for Class T, Class S, Class D, Class M and Class I shares, and the performance fee is a class-specific expense for Class T, Class S, Class D, Class M, Class I and Class Y shares. Class I PCRs will not be treated as a liability unless and until Class I shares are issuable pursuant to our advisory agreement and the Class I PCR agreement.</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Loans receivable and mortgage-backed securities held-to-maturity are valued at amortized cost, consistent with how they are recorded in accordance with GAAP, as these instruments are intended to be held-to-maturity. Liabilities are valued at amortized cost as these obligations are expected to be satisfied at their carrying value. See Note 9 to our unaudited consolidated financial statements included herein for additional information including a comparison of our carrying value and an estimate of the fair value of our loans receivable held-for-investment, mortgage-backed securities held-to-maturity, repurchase agreements payable, credit facility payable, collateralized loan obligations, and mortgage note payable.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breakdown of the major components of our total NAV as of June 30, 2026: </w:t>
      </w:r>
    </w:p>
    <w:tbl>
      <w:tblPr>
        <w:tblW w:w="8578" w:type="dxa"/>
        <w:jc w:val="center"/>
        <w:tblInd w:w="0" w:type="dxa"/>
        <w:tblLayout w:type="fixed"/>
        <w:tblCellMar>
          <w:top w:w="28" w:type="dxa"/>
          <w:left w:w="28" w:type="dxa"/>
          <w:bottom w:w="28" w:type="dxa"/>
          <w:right w:w="28" w:type="dxa"/>
        </w:tblCellMar>
      </w:tblPr>
      <w:tblGrid>
        <w:gridCol w:w="1949"/>
        <w:gridCol w:w="1716"/>
        <w:gridCol w:w="1719"/>
        <w:gridCol w:w="109"/>
        <w:gridCol w:w="109"/>
        <w:gridCol w:w="109"/>
        <w:gridCol w:w="211"/>
        <w:gridCol w:w="976"/>
        <w:gridCol w:w="109"/>
        <w:gridCol w:w="109"/>
        <w:gridCol w:w="109"/>
        <w:gridCol w:w="109"/>
        <w:gridCol w:w="109"/>
        <w:gridCol w:w="109"/>
        <w:gridCol w:w="109"/>
        <w:gridCol w:w="109"/>
        <w:gridCol w:w="109"/>
        <w:gridCol w:w="109"/>
        <w:gridCol w:w="109"/>
        <w:gridCol w:w="109"/>
        <w:gridCol w:w="109"/>
        <w:gridCol w:w="109"/>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for investment sold and repaid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in securitization trusts,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servicing fees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obligations issued by securitization trusts,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See Reconciliation of Stockholders' Equity to NAV below for an explanation of the differences between the stockholder servicing fees accrued for purposes of NAV and the amount accrued under GAAP.</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 by share class as of June 30, 2026:</w:t>
      </w:r>
    </w:p>
    <w:tbl>
      <w:tblPr>
        <w:tblW w:w="13375" w:type="dxa"/>
        <w:jc w:val="left"/>
        <w:tblInd w:w="0" w:type="dxa"/>
        <w:tblLayout w:type="fixed"/>
        <w:tblCellMar>
          <w:top w:w="28" w:type="dxa"/>
          <w:left w:w="28" w:type="dxa"/>
          <w:bottom w:w="28" w:type="dxa"/>
          <w:right w:w="28" w:type="dxa"/>
        </w:tblCellMar>
      </w:tblPr>
      <w:tblGrid>
        <w:gridCol w:w="484"/>
        <w:gridCol w:w="423"/>
        <w:gridCol w:w="18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NAV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121,759,619 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 per share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weighted average discount rate and exit capitalization rate by property type, which are the key assumptions used in the discounted cash flow valuations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tbl>
      <w:tblPr>
        <w:tblW w:w="5496"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424"/>
        <w:gridCol w:w="424"/>
        <w:gridCol w:w="426"/>
        <w:gridCol w:w="109"/>
        <w:gridCol w:w="109"/>
        <w:gridCol w:w="109"/>
        <w:gridCol w:w="645"/>
        <w:gridCol w:w="645"/>
        <w:gridCol w:w="91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Exit Capitalization Rate</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6.40%</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5.55%</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Discount rate and exit capitalization rate are the key assumptions used in the discounted cash flow valuation of our investments in real estate. A change in these assumptions would impact the calculation of the value of our real estate investments. For example, assuming all other factors remain unchanged, the changes listed below would result in the following effects on our investment values:</w:t>
      </w:r>
    </w:p>
    <w:tbl>
      <w:tblPr>
        <w:tblW w:w="9933" w:type="dxa"/>
        <w:jc w:val="left"/>
        <w:tblInd w:w="0" w:type="dxa"/>
        <w:tblLayout w:type="fixed"/>
        <w:tblCellMar>
          <w:top w:w="28" w:type="dxa"/>
          <w:left w:w="28" w:type="dxa"/>
          <w:bottom w:w="28" w:type="dxa"/>
          <w:right w:w="28" w:type="dxa"/>
        </w:tblCellMar>
      </w:tblPr>
      <w:tblGrid>
        <w:gridCol w:w="762"/>
        <w:gridCol w:w="665"/>
        <w:gridCol w:w="673"/>
        <w:gridCol w:w="109"/>
        <w:gridCol w:w="109"/>
        <w:gridCol w:w="109"/>
        <w:gridCol w:w="629"/>
        <w:gridCol w:w="629"/>
        <w:gridCol w:w="631"/>
        <w:gridCol w:w="109"/>
        <w:gridCol w:w="109"/>
        <w:gridCol w:w="109"/>
        <w:gridCol w:w="489"/>
        <w:gridCol w:w="489"/>
        <w:gridCol w:w="1226"/>
        <w:gridCol w:w="109"/>
        <w:gridCol w:w="109"/>
        <w:gridCol w:w="109"/>
        <w:gridCol w:w="563"/>
        <w:gridCol w:w="563"/>
        <w:gridCol w:w="1633"/>
      </w:tblGrid>
      <w:tr>
        <w:trPr/>
        <w:tc>
          <w:tcPr>
            <w:tcW w:w="7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 Investment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 Investment Values</w:t>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Capitalization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our stockholders' equity to our NAV as of June 30, 2026:</w:t>
      </w:r>
    </w:p>
    <w:tbl>
      <w:tblPr>
        <w:tblW w:w="8338" w:type="dxa"/>
        <w:jc w:val="left"/>
        <w:tblInd w:w="0" w:type="dxa"/>
        <w:tblLayout w:type="fixed"/>
        <w:tblCellMar>
          <w:top w:w="28" w:type="dxa"/>
          <w:left w:w="28" w:type="dxa"/>
          <w:bottom w:w="28" w:type="dxa"/>
          <w:right w:w="28" w:type="dxa"/>
        </w:tblCellMar>
      </w:tblPr>
      <w:tblGrid>
        <w:gridCol w:w="1862"/>
        <w:gridCol w:w="1637"/>
        <w:gridCol w:w="1645"/>
        <w:gridCol w:w="109"/>
        <w:gridCol w:w="109"/>
        <w:gridCol w:w="109"/>
        <w:gridCol w:w="211"/>
        <w:gridCol w:w="976"/>
        <w:gridCol w:w="109"/>
        <w:gridCol w:w="109"/>
        <w:gridCol w:w="109"/>
        <w:gridCol w:w="109"/>
        <w:gridCol w:w="109"/>
        <w:gridCol w:w="109"/>
        <w:gridCol w:w="109"/>
        <w:gridCol w:w="109"/>
        <w:gridCol w:w="109"/>
        <w:gridCol w:w="109"/>
        <w:gridCol w:w="109"/>
        <w:gridCol w:w="109"/>
        <w:gridCol w:w="109"/>
        <w:gridCol w:w="109"/>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Stockholders' Equity to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under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net of preferred stock, under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stockholder servicing fees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CECL reserve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unrealized real estate depreciation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Accumulated depreciation and amortization</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Stockholder servicing fees only apply to Class T, Class S, Class D and Class M shares. Under GAAP, we accrue future stockholder servicing fees in an amount equal to our best estimate of fees payable to FS Investment Solutions at the time such shares are sold. For purposes of NAV, we recognize the stockholder servicing fee as a reduction of NAV on a monthly basis. As a result, the estimated liability for the future stockholder servicing fees, which are accrued at the time each share is sold, will have no effect on the NAV of any class.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(2)    Our loans receivable held-for-investment and mortgage-backed securities held-for-investment balances include a general CECL reserve in our GAAP unaudited consolidated financial statements. For purposes of calculating our NAV, our general CECL reserve is excluded. We recognize a specific CECL reserve in the NAV calculation if and when a loan is deemed impaired, as described above.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Our investment in real estate is presented at its depreciated cost basis in our GAAP unaudited consolidated financial statements. As such, any increases or decreases in the fair market value of our investment in real estate is not included in our GAAP results. For purposes of calculating our NAV, our investment in real estate is recorded at fair value.</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We depreciate our investment in real estate and amortize certain other assets and liabilities in accordance with GAAP. Such depreciation and amortization are not recorded for purposes of determining our NAV.</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(5)    Includes (i) straight-line rent receivables, which are recorded in accordance with GAAP but not recorded for purposes of determining our NAV, (ii) increases or decreases in the fair market value of our interest rate cap, which is recorded in accordance with GAAP but not recorded for purposes of determining our NAV. For purposes of calculating our NAV, the interest rate cap is amortized over its term, and (iii) other adjustments.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Limits on the Calculation of Our Per Share NAV</w:t>
      </w:r>
    </w:p>
    <w:p>
      <w:pPr>
        <w:pStyle w:val="TextBody"/>
        <w:bidi w:val="0"/>
        <w:spacing w:lineRule="auto" w:line="268" w:before="0" w:after="0"/>
        <w:ind w:left="0" w:right="0" w:firstLine="450"/>
        <w:jc w:val="left"/>
        <w:rPr/>
      </w:pPr>
      <w:r>
        <w:rPr>
          <w:rFonts w:ascii="Times New Roman;serif" w:hAnsi="Times New Roman;serif"/>
          <w:b w:val="false"/>
          <w:color w:val="000000"/>
          <w:sz w:val="20"/>
        </w:rPr>
        <w:t>Although our primary goal in establishing our valuation guidelines is to produce a valuation that represents a fair and accurate estimate of the value of our investments, the methodologies used are based on judgments, assumptions and opinions about future events that may or may not prove to be correct, and if different judgments, assumptions or opinions were used, a different estimate would likely result. Furthermore, our published per share NAV may not fully reflect certain extraordinary events because we may not be able to immediately quantify the financial impact of such events on our portfolio. FS Real Estate Advisor monitors our portfolio between valuations to determine whether there have been any extraordinary events that may have materially changed the estimated market value of the portfolio, such as significant market events or disruptions or force majeure events</w:t>
      </w:r>
      <w:r>
        <w:rPr>
          <w:rFonts w:ascii="Times New Roman;serif" w:hAnsi="Times New Roman;serif"/>
          <w:b w:val="false"/>
          <w:color w:val="008080"/>
          <w:sz w:val="20"/>
        </w:rPr>
        <w:t>.</w:t>
      </w:r>
      <w:r>
        <w:rPr>
          <w:color w:val="000000"/>
        </w:rPr>
        <w:t xml:space="preserve"> </w:t>
      </w:r>
      <w:r>
        <w:rPr>
          <w:rFonts w:ascii="Times New Roman;serif" w:hAnsi="Times New Roman;serif"/>
          <w:b w:val="false"/>
          <w:color w:val="000000"/>
          <w:sz w:val="20"/>
        </w:rPr>
        <w:t xml:space="preserve">If required by applicable securities law, we will promptly disclose the occurrence of such event in a prospectus supplement and FS Real Estate Advisor will analyze the impact of such extraordinary event on our portfolio and determine, in coordination with third-party valuation services, the appropriate adjustment to be made to our NAV. We will not, however, retroactively adjust NAV. To the extent that the extraordinary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events may result in a material change in value of a specific investment, FS Real Estate Advisor will order a new valuation of the investment, which will be prepared by a third-party valuation service. It is not known whether any resulting disparity will benefit stockholders whose shares are or are not being repurchased or purchasers of our common stock. In calculating the number of shares outstanding used in calculating our NAV, we include the number of estimated Class I shares, if any, issuable to the adviser and the sub-adviser pursuant to the PCR Agreement based on the achievement of the Performance Conditions (as defined in the PCR Agreement), which estimate we will true up following the issuance of such Class I shares pursuant to the PCR Agreement.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include no discounts to our NAV for the illiquid nature of our shares, including the limitations on the ability to sell shares under our Share Repurchase Plan and our ability to suspend or terminate our Share Repurchase Plan at any time. Our NAV generally does not consider exit costs that would likely be incurred if our assets and liabilities were liquidated or sold. While we may use market pricing concepts to value individual components of our NAV, our per share NAV is not derived from the market pricing information of open-end real estate funds listed on stock exchanges.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do not represent, warranty or guarantee that: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stockholder would be able to realize the NAV per share for the class of shares a stockholder owns if the stockholder attempts to sell its shares;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stockholder would ultimately realize distributions per share equal to per share NAV upon a liquidation of our assets and settlement of our liabilities or upon any other liquidity event;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shares of our common stock would trade at per share NAV on a national securities exchange;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third party in an arm’s-length transaction would offer to purchase all or substantially all of our shares of common stock at NAV;</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NAV would equate to a market price for an open-end real estate fund;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NAV would represent the fair value of our assets less liabilities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had $213,373 in cash and cash equivalents, which we and our wholly owned subsidiaries held in custodial accounts. In addition, as of June 30, 2026, we had $3,436,525 in borrowings available under our financing arrangements, subject to borrowing base and other limitations. As of June 30, 2026, we had unfunded loan commitments of $379,938. We maintain sufficient cash on hand and available borrowings to fund such unfunded commitments should the need arise.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will obtain the funds required to purchase or originate investments and conduct our operations from the net proceeds of our public offering, the private placement of our Class I shares and any future offerings we may conduct, from secured and unsecured borrowings from banks and other lenders, and from any undistributed funds from operations. Our principal demands for funds will be for asset acquisitions/originations, the payment of operating expenses and distributions, the payment of interest on any outstanding indebtedness and repurchases of our common stock pursuant to our Share Repurchase Plan. Generally, cash needs for items other than asset acquisitions/originations will be met from operations, and cash needs for asset acquisitions/originations will be funded by public offerings of our shares and debt financings. However, there may be a delay between the sale of our shares and our purchase/originations of assets, which could result in a delay in the benefits to our stockholders of returns generated from our investment operations. Our leverage may not exceed 300% of our total net assets (as defined in our charter) as of the date of any borrowing unless a majority of our independent directors vote to approve any borrowing in excess of this amount. Our board of directors will continue to review our ratio of leverage to total net assets on a quarterly basis, as required by our charter.</w:t>
      </w:r>
    </w:p>
    <w:tbl>
      <w:tblPr>
        <w:tblW w:w="6201" w:type="dxa"/>
        <w:jc w:val="left"/>
        <w:tblInd w:w="0" w:type="dxa"/>
        <w:tblLayout w:type="fixed"/>
        <w:tblCellMar>
          <w:top w:w="28" w:type="dxa"/>
          <w:left w:w="28" w:type="dxa"/>
          <w:bottom w:w="28" w:type="dxa"/>
          <w:right w:w="28" w:type="dxa"/>
        </w:tblCellMar>
      </w:tblPr>
      <w:tblGrid>
        <w:gridCol w:w="906"/>
        <w:gridCol w:w="798"/>
        <w:gridCol w:w="800"/>
        <w:gridCol w:w="109"/>
        <w:gridCol w:w="109"/>
        <w:gridCol w:w="109"/>
        <w:gridCol w:w="424"/>
        <w:gridCol w:w="424"/>
        <w:gridCol w:w="426"/>
        <w:gridCol w:w="109"/>
        <w:gridCol w:w="109"/>
        <w:gridCol w:w="109"/>
        <w:gridCol w:w="517"/>
        <w:gridCol w:w="517"/>
        <w:gridCol w:w="735"/>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Debt-to-equity ratio</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2.3x</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Leverage-to-net assets ratio</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2.1x</w:t>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Represents (i) total gross outstanding debt agreements less cash on our consolidated balance sheets (ii) total stockholder's equity, in each case, at period end.</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Represents (i) total gross outstanding debt agreements (ii) total net asset value (as defined in our charter), in each case, at period end. See NAV per share section within Item 2 for a reconciliation between our stockholder's equity to net asset value.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unable to continue to raise substantial funds in our public offering, we will make fewer investments resulting in less diversification in terms of the type, number and size of investments we make and the value of an investment in us will fluctuate with the performance of the specific assets we acquire. We have certain fixed operating expenses, including certain expenses as a publicly offered REIT, regardless of whether we are able to raise substantial funds in our public offering. Our inability to raise substantial funds would increase our fixed operating expenses as a percentage of gross income, reducing our net income and limiting our ability to make distributions.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Potential future sources of capital include proceeds from secured or unsecured financings from banks or other lenders or proceeds from the sale of assets or collection of loans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making investments in accordance with our investment objectives, we expect to use our capital resources to make certain payments to FS Real Estate Advisor and FS Investment Solutions, the dealer manager for our public offering. During the offering stage of our public offering, these payments will include payments to FS Real Estate Advisor and its affiliates for reimbursement of certain organization and offering expenses. We will reimburse FS Real Estate Advisor for the organization and offering costs it or Rialto incurs on our behalf only to the extent that the reimbursement would not cause the selling commissions, dealer manager fees, accountable due diligence expenses, stockholder servicing fees and the other organization and offering expenses borne by us to exceed 15.0% of the gross offering proceeds from the primary offering as the amount of proceeds increases. FS Real Estate Advisor may be reimbursed for any organization and offering expenses that it or Rialto has incurred on our behalf, up to a cap of 0.75% of gross proceeds raised. Future Standard funded our offering costs in the amount of $31,122 for the period from November 7, 2016 (Inception) to June 30, 2026. Through June 30, 2026, we reimbursed $28,186 to FS Real Estate Advisor for offering expenses previously funded. As of June 30, 2026, $2,693 of offering expenses previously funded remained subject to reimbursement to FS Real Estate Advisor and Rialto.</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Subject to the limitations in the advisory agreement and sub-advisory agreement, we expect to make payments to FS Real Estate Advisor in connection with the management of our assets and costs incurred by FS Real Estate Advisor and Rialto in providing services to us. The advisory agreement has a one-year term but may be renewed for an unlimited number of successive one-year periods upon the mutual consent of FS Real Estate Advisor and our board of directors. On November 12, 2025, our board of directors approved the renewal of the advisory agreement effective as of December 1, 2025 for an additional one-year term expiring December 1, 2026. For a discussion of the compensation to be paid to FS Real Estate Advisor and FS Investment Solutions, see Note 7 to our unaudited consolidated financial statements included herein.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net change in our cash and cash equivalents and restricted cash:</w:t>
      </w:r>
    </w:p>
    <w:tbl>
      <w:tblPr>
        <w:tblW w:w="8826" w:type="dxa"/>
        <w:jc w:val="left"/>
        <w:tblInd w:w="0" w:type="dxa"/>
        <w:tblLayout w:type="fixed"/>
        <w:tblCellMar>
          <w:top w:w="28" w:type="dxa"/>
          <w:left w:w="28" w:type="dxa"/>
          <w:bottom w:w="28" w:type="dxa"/>
          <w:right w:w="28" w:type="dxa"/>
        </w:tblCellMar>
      </w:tblPr>
      <w:tblGrid>
        <w:gridCol w:w="2122"/>
        <w:gridCol w:w="1869"/>
        <w:gridCol w:w="1874"/>
        <w:gridCol w:w="109"/>
        <w:gridCol w:w="109"/>
        <w:gridCol w:w="109"/>
        <w:gridCol w:w="211"/>
        <w:gridCol w:w="901"/>
        <w:gridCol w:w="109"/>
        <w:gridCol w:w="109"/>
        <w:gridCol w:w="109"/>
        <w:gridCol w:w="109"/>
        <w:gridCol w:w="211"/>
        <w:gridCol w:w="721"/>
        <w:gridCol w:w="154"/>
      </w:tblGrid>
      <w:tr>
        <w:trPr/>
        <w:tc>
          <w:tcPr>
            <w:tcW w:w="2122"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87,430 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(525,507)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(139,212)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50,214 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operating activities decreased $9,027 during the six months ended June 30, 2026 compared to the corresponding period in 2025 primarily due to the change in non-cash other income items in addition to the change in other assets and accrued expenses during the period. </w:t>
      </w:r>
    </w:p>
    <w:p>
      <w:pPr>
        <w:pStyle w:val="TextBody"/>
        <w:bidi w:val="0"/>
        <w:spacing w:lineRule="auto" w:line="288" w:before="120" w:after="120"/>
        <w:ind w:left="0" w:right="0" w:firstLine="450"/>
        <w:jc w:val="left"/>
        <w:rPr/>
      </w:pPr>
      <w:r>
        <w:rPr>
          <w:rFonts w:ascii="Times New Roman;serif" w:hAnsi="Times New Roman;serif"/>
          <w:b w:val="false"/>
          <w:color w:val="000000"/>
          <w:sz w:val="20"/>
        </w:rPr>
        <w:t>Cash flows used in investing activities decreased $511,521 during the six months ended June 30, 2026 com</w:t>
      </w:r>
      <w:r>
        <w:rPr>
          <w:rFonts w:ascii="Times New Roman;serif" w:hAnsi="Times New Roman;serif"/>
          <w:b w:val="false"/>
          <w:color w:val="000000"/>
          <w:sz w:val="20"/>
          <w:shd w:fill="FFFFFF" w:val="clear"/>
        </w:rPr>
        <w:t xml:space="preserve">pared to the corresponding period in 2025 primarily due to the increase in origination and fundings of loans receivables of </w:t>
      </w:r>
      <w:r>
        <w:rPr>
          <w:rFonts w:ascii="Times New Roman;serif" w:hAnsi="Times New Roman;serif"/>
          <w:b w:val="false"/>
          <w:color w:val="000000"/>
          <w:sz w:val="20"/>
        </w:rPr>
        <w:t>$1,064,521, offset by</w:t>
      </w:r>
      <w:r>
        <w:rPr>
          <w:color w:val="000000"/>
          <w:shd w:fill="FFFFFF" w:val="clear"/>
        </w:rPr>
        <w:t xml:space="preserve"> </w:t>
      </w:r>
      <w:r>
        <w:rPr>
          <w:rFonts w:ascii="Times New Roman;serif" w:hAnsi="Times New Roman;serif"/>
          <w:b w:val="false"/>
          <w:color w:val="000000"/>
          <w:sz w:val="20"/>
          <w:shd w:fill="FFFFFF" w:val="clear"/>
        </w:rPr>
        <w:t xml:space="preserve">a net increase in principal collections from loans receivable, held-for-investment </w:t>
      </w:r>
      <w:r>
        <w:rPr>
          <w:rFonts w:ascii="Times New Roman;serif" w:hAnsi="Times New Roman;serif"/>
          <w:b w:val="false"/>
          <w:color w:val="000000"/>
          <w:sz w:val="20"/>
        </w:rPr>
        <w:t>$376,745</w:t>
      </w:r>
      <w:r>
        <w:rPr>
          <w:rFonts w:ascii="Times New Roman;serif" w:hAnsi="Times New Roman;serif"/>
          <w:b w:val="false"/>
          <w:color w:val="000000"/>
          <w:sz w:val="20"/>
          <w:shd w:fill="FFFFFF" w:val="clear"/>
        </w:rPr>
        <w: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financing activities increased $313,068 during the six months ended June 30, 2026 compared to the corresponding period in 2025 primarily due to a net increase in proceeds from borrowing activity of $322,385.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utilize our credit and repurchase facilities primarily to finance our loan originations on a short-term basis prior to loan securitizations, including through CLOs. The timing, size, and frequency of our securitizations impact the balances of these borrowings, and produce some fluctuations. The following table provides additional information regarding the balances of our borrowings:</w:t>
      </w:r>
    </w:p>
    <w:tbl>
      <w:tblPr>
        <w:tblW w:w="10205" w:type="dxa"/>
        <w:jc w:val="left"/>
        <w:tblInd w:w="0" w:type="dxa"/>
        <w:tblLayout w:type="fixed"/>
        <w:tblCellMar>
          <w:top w:w="28" w:type="dxa"/>
          <w:left w:w="28" w:type="dxa"/>
          <w:bottom w:w="28" w:type="dxa"/>
          <w:right w:w="28" w:type="dxa"/>
        </w:tblCellMar>
      </w:tblPr>
      <w:tblGrid>
        <w:gridCol w:w="539"/>
        <w:gridCol w:w="397"/>
        <w:gridCol w:w="398"/>
        <w:gridCol w:w="109"/>
        <w:gridCol w:w="109"/>
        <w:gridCol w:w="109"/>
        <w:gridCol w:w="414"/>
        <w:gridCol w:w="1919"/>
        <w:gridCol w:w="214"/>
        <w:gridCol w:w="109"/>
        <w:gridCol w:w="109"/>
        <w:gridCol w:w="109"/>
        <w:gridCol w:w="380"/>
        <w:gridCol w:w="1760"/>
        <w:gridCol w:w="196"/>
        <w:gridCol w:w="109"/>
        <w:gridCol w:w="109"/>
        <w:gridCol w:w="109"/>
        <w:gridCol w:w="472"/>
        <w:gridCol w:w="2185"/>
        <w:gridCol w:w="350"/>
      </w:tblGrid>
      <w:tr>
        <w:trPr/>
        <w:tc>
          <w:tcPr>
            <w:tcW w:w="53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Average 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 of Period 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Unpaid Principal Balance at Any Month-End</w:t>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3,076,190 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3,414,558 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3,414,558 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3,354,385 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3,074,256 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3,716,782 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2,894,173 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3,735,493 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3,735,493 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2,595,015 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2,465,384 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2,621,542 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2,655,737 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2,642,231 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2,685,156 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are prepared in conformity with GAAP, which requires us to make estimates and assumptions that affect the reported amounts of assets and liabilities, and disclosure of contingent assets and liabilities, at the date of the financial statements and the reported amounts of revenues and expenses during the reporting periods. Refer to the section of our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entitled “Management’s Discussion and Analysis of Financial Condition and Results of Operations—Critical Accounting Policies and Estimates” for a full discussion of our critical accounting policies and estimates. There have been no material changes to our critical accounting policies and estimates described in our Annual Report on Form 10-K for the fiscal year ended December 31, 2025. See Note 2 to our unaudited consolidated financial statements included herein for additional information regarding our accounting policies and significant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Compensation of FS Real Estate Advisor, Rialto and the Dealer Manager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advisory agreement, FS Real Estate Advisor is entitled to an annual base management fee equal to 1.25% of the NAV for our Class T, Class S, Class D, Class M and Class I shares and a performance fee in an amount equal to 10.0% of the Core Earnings for the immediately preceding quarter, subject to a hurdle rate, expressed as a rate of return on average adjusted capital, equal to 1.625% per quarter, or an annualized hurdle rate of 6.5%. We also reimburse FS Real Estate Advisor and Rialto for their actual cost incurred on providing administrative services to us, including the allocable portion of compensation and related expenses of certain personnel providing such administrative services. Further, origination fees of up to 1.0% of the loan amount for first lien, subordinated or mezzanine debt or preferred equity financing may be retained by Rialto or FS Real Estate Advisor. FS Real Estate Advisor has also received compensation for the structuring and negotiation of certain financing arrangements. Pursuant to the advisory agreement, we will reimburse FS Real Estate Advisor and its affiliates for expenses incurred relating to our organization and continuous public offering, including the allocable portion of compensation and related expenses of certain personnel of Future Standard related thereto. FS Real Estate Advisor previously agreed to advance all of our organization and offering expenses until we raised $250,000 of gross proceeds from our public offering. In April 2020, FS Real Estate Advisor and Rialto agreed to defer the recoupment of any organization and offering expenses that may be reimbursable by us under the advisory agreement with respect to gross proceeds raised in the offering in excess of $250,000 until FS Real Estate Advisor, in its sole discretion, determined that we had achieved economies of scale sufficient to ensure that we could bear a reasonable level of expenses in relation to our income. We began reimbursing FS Real Estate Advisor in September 2020 and, as such, FS Real Estate Advisor may be reimbursed for any organization and offering expenses that it or Rialto has incurred on our behalf, up to a cap of 0.75% of gross proceeds raised after such time.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dealer manager for our continuous public offering is FS Investment Solutions, which is an affiliate of FS Real Estate Advisor. Under the Dealer Manager Agreement, FS Investment Solutions is entitled to receive upfront selling commissions and dealer manager fees in connection with the sale of shares of common stock in our continuous public offering. FS Investment Solutions anticipates that all of the selling commissions and dealer manager fees will be reallowed to participating broker-dealers, unless a particular broker-dealer declines to accept some portion of the dealer manager fee they are otherwise eligible to receive. FS Investment Solutions is also entitled to receive stockholder servicing fees, which accrue daily and are paid on a monthly basis. FS Investment Solutions will reallow such stockholder servicing fees to participating broker-dealers, servicing broker-dealers and financial institutions (including bank trust departments) and will waive (pay back to us) stockholder servicing fees to the extent a broker-dealer or financial institution is not eligible or otherwise declines to receive all or a portion of such fees.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See Note 7 to our unaudited consolidated financial statements included herein for additional information regarding our related party transactions and relationships, including a description of the fees and amounts due to FS Real Estate Advisor, compensation of FS Investment Solutions, capital contributions by Future Standard and Rialto and, our Expense Limitation Agreement with Future Standard.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FS Investment Solutions also serves or served as the placement agent for our private offerings pursuant to placement agreements. FS Investment Solutions does not receive any compensation pursuant to these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financial market risks, including changes in interest rates. As of June 30, 2026, 95% of the outstanding principal of our debt investments were floating-rate investments. A rise in the general level of interest rates can be expected to lead to higher interest rates applicable to any variable rate investments we may hold and to declines in the value of any fixed rate investments we may hold. However, many of our variable rate investments provide for an interest rate floor, which may prevent our interest income from increasing until benchmark interest rates increase beyond a threshold amount. To the extent that a substantial portion of our investments may be in variable rate investments, an increase in interest rates beyond this threshold would make it easier for us to meet or exceed our performance fee hurdle rate and may result in a substantial increase in our net investment income and the amount of performance fees payable to FS Real Estate Advisor.</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FS Rialto 2021-FL2, 2021-FL3, 2024-FL9, 2025-FL10, and 2026-FL11 the WF-1 Facility, the GS-1 Facility, the BB-1 Facility, the MS-1 Facility, the Barclays Revolving Credit Facility, the NTX-1 Facility, the BMO-1 Facility, the Lucid Facility, the Natixis loan, the MM-1 Facility, the WF-2 Facility, the CB-1 Facility, the Finance Blue Facility, the JP-1 Facility, the CO-1 Facility, and the Citi Facility borrowings are at a floating-rate based on SOFR, and the pricing rate for any specific transaction executed under the RBC Facility may be charged, pursuant to the terms agreed for that transaction, at a floating-rate based on SOFR. To the extent that any present or future credit facilities or other financing arrangements that we or any of our subsidiaries enter into are based on a floating interest rate, we will be subject to risks relating to changes in market interest rates. In periods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rising interest rates, when we have debt outstanding, our cost of funds would increase, which could reduce our net investment income, especially to the extent we hold fixed rate investments.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seek to limit the impact of rising interest rates on earnings and cash flows through the use of derivative financial instruments to hedge exposures to changes in interest rates on loans secured by our assets.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The following table shows the effect over a twelve-month period of changes in interest rates on our interest income, interest expense, and net interest income, assuming no changes in the composition of our investment portfolio, including the accrual status of our investments, and our financing arrangements in effect as of June 30, 2026</w:t>
      </w:r>
      <w:r>
        <w:rPr>
          <w:rFonts w:ascii="Times New Roman;serif" w:hAnsi="Times New Roman;serif"/>
          <w:b w:val="false"/>
          <w:color w:val="231F20"/>
          <w:sz w:val="20"/>
        </w:rPr>
        <w:t>:</w:t>
      </w:r>
    </w:p>
    <w:tbl>
      <w:tblPr>
        <w:tblW w:w="10205" w:type="dxa"/>
        <w:jc w:val="left"/>
        <w:tblInd w:w="0" w:type="dxa"/>
        <w:tblLayout w:type="fixed"/>
        <w:tblCellMar>
          <w:top w:w="28" w:type="dxa"/>
          <w:left w:w="28" w:type="dxa"/>
          <w:bottom w:w="28" w:type="dxa"/>
          <w:right w:w="28" w:type="dxa"/>
        </w:tblCellMar>
      </w:tblPr>
      <w:tblGrid>
        <w:gridCol w:w="580"/>
        <w:gridCol w:w="510"/>
        <w:gridCol w:w="514"/>
        <w:gridCol w:w="109"/>
        <w:gridCol w:w="109"/>
        <w:gridCol w:w="109"/>
        <w:gridCol w:w="343"/>
        <w:gridCol w:w="1259"/>
        <w:gridCol w:w="177"/>
        <w:gridCol w:w="109"/>
        <w:gridCol w:w="109"/>
        <w:gridCol w:w="109"/>
        <w:gridCol w:w="349"/>
        <w:gridCol w:w="1279"/>
        <w:gridCol w:w="180"/>
        <w:gridCol w:w="109"/>
        <w:gridCol w:w="109"/>
        <w:gridCol w:w="109"/>
        <w:gridCol w:w="389"/>
        <w:gridCol w:w="1238"/>
        <w:gridCol w:w="201"/>
        <w:gridCol w:w="109"/>
        <w:gridCol w:w="109"/>
        <w:gridCol w:w="109"/>
        <w:gridCol w:w="393"/>
        <w:gridCol w:w="378"/>
        <w:gridCol w:w="1107"/>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Basis Point Changes in 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in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in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in 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Change in Net Interest Income</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Down 50 basis points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Down 25 basis points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ind w:left="0" w:right="0" w:firstLine="45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Decrease in rates assumes SOFR does not decrease below 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June 30, 2026.</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the foregoing, our chief executive officer and chief financial officer concluded that our disclosure controls and procedures were effective to provide reasonable assurance that we would meet our disclosure obligations.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Exchange Act Rules 13a-15(f) or 15d-15(f)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currently subject to any material legal proceedings, nor, to our knowledge, is any material legal proceeding threatened against us. From time to time, we may be party to certain legal proceedings in the ordinary course of business, including proceedings relating to the enforcement of our rights under contracts with our portfolio companies. While the outcome of any legal proceedings cannot be predicted with certainty, we do not expect that these proceedings will have a material adverse effect upon our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 factors that appeared under Item 1A. "Risk Factors" in our most recent Annual Report on Form 10-K, as supplemented by this Quarterly Report on Form 10-Q. There are no material changes from the risk factors included within our most recent Annual Report on Form 10-K for the year ended December 31, 2025.</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adopted the Share Repurchase Plan, whereby on a monthly basis, stockholders may request that we repurchase all or any portion of their shares. The repurchase of shares is limited to no more than 2% of our aggregate NAV per month of all classes of shares then participating in our Share Repurchase Plan and no more than 5% of our aggregate NAV per calendar quarter of all classes of shares then participating in our Share Repurchase Plan, which means that in any 12-month period, we limit repurchases to approximately 20% of the total NAV of all classes of shares then participating in the Share Repurchase Plan.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shares of our common stock in the following amounts, which represented all of the share repurchase requests received for the same period:</w:t>
      </w:r>
    </w:p>
    <w:tbl>
      <w:tblPr>
        <w:tblW w:w="10205" w:type="dxa"/>
        <w:jc w:val="left"/>
        <w:tblInd w:w="0" w:type="dxa"/>
        <w:tblLayout w:type="fixed"/>
        <w:tblCellMar>
          <w:top w:w="28" w:type="dxa"/>
          <w:left w:w="28" w:type="dxa"/>
          <w:bottom w:w="28" w:type="dxa"/>
          <w:right w:w="28" w:type="dxa"/>
        </w:tblCellMar>
      </w:tblPr>
      <w:tblGrid>
        <w:gridCol w:w="349"/>
        <w:gridCol w:w="307"/>
        <w:gridCol w:w="309"/>
        <w:gridCol w:w="109"/>
        <w:gridCol w:w="109"/>
        <w:gridCol w:w="109"/>
        <w:gridCol w:w="723"/>
        <w:gridCol w:w="472"/>
        <w:gridCol w:w="474"/>
        <w:gridCol w:w="109"/>
        <w:gridCol w:w="109"/>
        <w:gridCol w:w="109"/>
        <w:gridCol w:w="289"/>
        <w:gridCol w:w="846"/>
        <w:gridCol w:w="149"/>
        <w:gridCol w:w="109"/>
        <w:gridCol w:w="109"/>
        <w:gridCol w:w="109"/>
        <w:gridCol w:w="1000"/>
        <w:gridCol w:w="781"/>
        <w:gridCol w:w="783"/>
        <w:gridCol w:w="109"/>
        <w:gridCol w:w="109"/>
        <w:gridCol w:w="109"/>
        <w:gridCol w:w="704"/>
        <w:gridCol w:w="704"/>
        <w:gridCol w:w="1007"/>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of Shares that May Yet Be Purchased Under the Plans or Programs</w:t>
            </w:r>
            <w:r>
              <w:rPr>
                <w:rFonts w:ascii="Times New Roman;serif" w:hAnsi="Times New Roman;serif"/>
                <w:b/>
                <w:color w:val="000000"/>
                <w:sz w:val="13"/>
              </w:rPr>
              <w:t>(1)</w:t>
            </w:r>
          </w:p>
        </w:tc>
      </w:tr>
      <w:tr>
        <w:trPr/>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1,890,944 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1,890,944 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1,314,603 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1,314,603 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1,223,264 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1,223,264 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4,428,811 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4,428,811 </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540"/>
        <w:jc w:val="left"/>
        <w:rPr/>
      </w:pPr>
      <w:r>
        <w:rPr>
          <w:rFonts w:ascii="Times New Roman;serif" w:hAnsi="Times New Roman;serif"/>
          <w:b w:val="false"/>
          <w:color w:val="000000"/>
          <w:sz w:val="18"/>
        </w:rPr>
        <w:t>(1)</w:t>
      </w:r>
      <w:r>
        <w:rPr>
          <w:color w:val="000000"/>
        </w:rPr>
        <w:t xml:space="preserve"> </w:t>
      </w:r>
      <w:r>
        <w:rPr>
          <w:rFonts w:ascii="Times New Roman;serif" w:hAnsi="Times New Roman;serif"/>
          <w:b w:val="false"/>
          <w:color w:val="000000"/>
          <w:sz w:val="18"/>
        </w:rPr>
        <w:t>Repurchases are limited as described above.</w:t>
      </w:r>
    </w:p>
    <w:p>
      <w:pPr>
        <w:pStyle w:val="TextBody"/>
        <w:bidi w:val="0"/>
        <w:spacing w:before="0" w:after="0"/>
        <w:ind w:left="0" w:right="0" w:hanging="540"/>
        <w:jc w:val="left"/>
        <w:rPr/>
      </w:pPr>
      <w:r>
        <w:rPr/>
      </w:r>
    </w:p>
    <w:p>
      <w:pPr>
        <w:pStyle w:val="TextBody"/>
        <w:bidi w:val="0"/>
        <w:spacing w:before="120" w:after="120"/>
        <w:ind w:left="0" w:right="0" w:hanging="540"/>
        <w:jc w:val="left"/>
        <w:rPr/>
      </w:pPr>
      <w:r>
        <w:rPr/>
      </w:r>
    </w:p>
    <w:p>
      <w:pPr>
        <w:pStyle w:val="TextBody"/>
        <w:bidi w:val="0"/>
        <w:spacing w:before="120" w:after="120"/>
        <w:ind w:left="0" w:right="0" w:hanging="540"/>
        <w:jc w:val="left"/>
        <w:rPr/>
      </w:pPr>
      <w:r>
        <w:rPr/>
      </w:r>
    </w:p>
    <w:p>
      <w:pPr>
        <w:pStyle w:val="TextBody"/>
        <w:bidi w:val="0"/>
        <w:spacing w:before="120" w:after="120"/>
        <w:ind w:left="0" w:right="0" w:hanging="540"/>
        <w:jc w:val="left"/>
        <w:rPr/>
      </w:pPr>
      <w:r>
        <w:rPr/>
      </w:r>
    </w:p>
    <w:p>
      <w:pPr>
        <w:pStyle w:val="TextBody"/>
        <w:bidi w:val="0"/>
        <w:spacing w:before="120" w:after="12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before="120" w:after="120"/>
        <w:ind w:left="0" w:right="0" w:hanging="540"/>
        <w:jc w:val="left"/>
        <w:rPr/>
      </w:pPr>
      <w:r>
        <w:rPr/>
      </w:r>
    </w:p>
    <w:p>
      <w:pPr>
        <w:pStyle w:val="TextBody"/>
        <w:bidi w:val="0"/>
        <w:spacing w:before="120" w:after="12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8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7"/>
        <w:gridCol w:w="218"/>
        <w:gridCol w:w="223"/>
        <w:gridCol w:w="109"/>
        <w:gridCol w:w="109"/>
        <w:gridCol w:w="109"/>
        <w:gridCol w:w="2745"/>
        <w:gridCol w:w="2660"/>
        <w:gridCol w:w="3765"/>
      </w:tblGrid>
      <w:tr>
        <w:trPr/>
        <w:tc>
          <w:tcPr>
            <w:tcW w:w="2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0" w:type="dxa"/>
            <w:gridSpan w:val="3"/>
            <w:tcBorders/>
            <w:vAlign w:val="center"/>
          </w:tcPr>
          <w:p>
            <w:pPr>
              <w:pStyle w:val="TableContents"/>
              <w:bidi w:val="0"/>
              <w:spacing w:before="0" w:after="283"/>
              <w:jc w:val="left"/>
              <w:rPr>
                <w:sz w:val="4"/>
                <w:szCs w:val="4"/>
              </w:rPr>
            </w:pPr>
            <w:r>
              <w:rPr>
                <w:sz w:val="4"/>
                <w:szCs w:val="4"/>
              </w:rPr>
            </w:r>
          </w:p>
        </w:tc>
      </w:tr>
      <w:tr>
        <w:trPr/>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0" w:type="dxa"/>
            <w:gridSpan w:val="3"/>
            <w:tcBorders/>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2">
              <w:r>
                <w:rPr>
                  <w:rStyle w:val="InternetLink"/>
                  <w:rFonts w:ascii="Times New Roman;serif" w:hAnsi="Times New Roman;serif"/>
                  <w:b w:val="false"/>
                  <w:color w:val="0000FF"/>
                  <w:sz w:val="18"/>
                  <w:u w:val="single"/>
                </w:rPr>
                <w:t>Second Articles of Amendment and Restatement (incorporated by reference to Exhibit 3.1 of the Registrant’s Registration Statement on Form S-11, as filed by the Registrant with the SEC on September 7, 2017)</w:t>
              </w:r>
            </w:hyperlink>
            <w:r>
              <w:rPr>
                <w:rFonts w:ascii="Times New Roman;serif" w:hAnsi="Times New Roman;serif"/>
                <w:b w:val="false"/>
                <w:color w:val="0000FF"/>
                <w:sz w:val="18"/>
              </w:rPr>
              <w: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3">
              <w:r>
                <w:rPr>
                  <w:rStyle w:val="InternetLink"/>
                  <w:rFonts w:ascii="Times New Roman;serif" w:hAnsi="Times New Roman;serif"/>
                  <w:b w:val="false"/>
                  <w:color w:val="0000FF"/>
                  <w:sz w:val="18"/>
                  <w:u w:val="single"/>
                </w:rPr>
                <w:t>Articles of Amendment (incorporated by reference to Exhibit 3.1 of the Registrant’s Current Report on Form 8-K, as filed by the Registrant with the SEC on August 17, 2018).</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
              <w:r>
                <w:rPr>
                  <w:rStyle w:val="InternetLink"/>
                  <w:rFonts w:ascii="Times New Roman;serif" w:hAnsi="Times New Roman;serif"/>
                  <w:b w:val="false"/>
                  <w:color w:val="0000FF"/>
                  <w:sz w:val="18"/>
                  <w:u w:val="single"/>
                </w:rPr>
                <w:t>Second Articles of Amendment (incorporated by reference to Exhibit 3.3 of the Registrant’s Quarterly Report on Form 10-Q, as filed by the Registrant with the SEC on August 14, 2019).</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5">
              <w:r>
                <w:rPr>
                  <w:rStyle w:val="InternetLink"/>
                  <w:rFonts w:ascii="Times New Roman;serif" w:hAnsi="Times New Roman;serif"/>
                  <w:b w:val="false"/>
                  <w:color w:val="0000FF"/>
                  <w:sz w:val="18"/>
                  <w:u w:val="single"/>
                </w:rPr>
                <w:t>Third Articles of Amendment (incorporated by reference to Exhibit 3.1 of the Registrant’s Current Report on Form 8-K, as filed by the Registrant with the SEC on April 28, 2022).</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erif" w:hAnsi="Times New Roman;serif"/>
                  <w:b w:val="false"/>
                  <w:color w:val="0000FF"/>
                  <w:sz w:val="18"/>
                  <w:u w:val="single"/>
                </w:rPr>
                <w:t>Bylaws (incorporated by reference to Exhibit 3.2 of the Registrant’s Registration Statement on Form S-11, as filed by the Registrant with the SEC on February 13, 2017).</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"https://www.sec.gov/Archives/edgar/data/1690536/000110465925095660/tm2526365-1_s11.htm" \l "tAPB"</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Amended and Restated Distribution Reinvestment Plan (incorporated by reference to Exhibit 4.2 of the Registrant’s Registration Statement on Form S-11, as filed by the Registrant with the SEC on April 10, 2026).</w:t>
            </w:r>
            <w:r>
              <w:rPr>
                <w:rStyle w:val="InternetLink"/>
                <w:sz w:val="18"/>
                <w:u w:val="single"/>
                <w:b w:val="false"/>
                <w:rFonts w:ascii="Times New Roman;serif" w:hAnsi="Times New Roman;serif"/>
                <w:color w:val="0000FF"/>
              </w:rPr>
              <w:fldChar w:fldCharType="end"/>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exhibit311q226.htm">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exhibit312q226.htm">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6.htm">
              <w:r>
                <w:rPr>
                  <w:rStyle w:val="InternetLink"/>
                  <w:rFonts w:ascii="Times New Roman;serif" w:hAnsi="Times New Roman;serif"/>
                  <w:b w:val="false"/>
                  <w:color w:val="0000FF"/>
                  <w:sz w:val="18"/>
                  <w:u w:val="single"/>
                </w:rPr>
                <w:t>Certification of Chief Executive Officer and Chief Financial Officer, pursuant to Section 906 of the Sarbanes-Oxley Act of 2002.</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Inline XBRL Taxonomy Extension Labels Linkbase Document. </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lineRule="auto" w:line="288" w:before="6" w:after="6"/>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6" w:after="6"/>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6" w:after="6"/>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    This exhibit shall not be deemed "filed" for purposes of Section 18 of the Exchange Act or otherwise subject to the liability of that Section. Such exhibit shall not be deemed incorporated into any filing under the Securities Act or the Exchange Act. </w:t>
      </w:r>
    </w:p>
    <w:p>
      <w:pPr>
        <w:pStyle w:val="TextBody"/>
        <w:bidi w:val="0"/>
        <w:spacing w:before="0" w:after="6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357e88468d94e2aabfcc0b3bdd73d43_7">
        <w:r>
          <w:rPr>
            <w:rStyle w:val="InternetLink"/>
            <w:rFonts w:ascii="Times New Roman;serif" w:hAnsi="Times New Roman;serif"/>
            <w:b w:val="false"/>
            <w:color w:val="0000FF"/>
            <w:sz w:val="20"/>
            <w:u w:val="single"/>
          </w:rPr>
          <w:t>Table of Contents</w:t>
        </w:r>
      </w:hyperlink>
    </w:p>
    <w:p>
      <w:pPr>
        <w:pStyle w:val="TextBody"/>
        <w:bidi w:val="0"/>
        <w:spacing w:lineRule="auto" w:line="331"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to be signed on its behalf by the undersigned, thereunto duly authorized on August 14, 2026.</w:t>
      </w:r>
    </w:p>
    <w:p>
      <w:pPr>
        <w:pStyle w:val="TextBody"/>
        <w:bidi w:val="0"/>
        <w:spacing w:before="0" w:after="0"/>
        <w:jc w:val="right"/>
        <w:rPr/>
      </w:pPr>
      <w:r>
        <w:rPr/>
      </w:r>
    </w:p>
    <w:tbl>
      <w:tblPr>
        <w:tblW w:w="9396" w:type="dxa"/>
        <w:jc w:val="right"/>
        <w:tblInd w:w="0" w:type="dxa"/>
        <w:tblLayout w:type="fixed"/>
        <w:tblCellMar>
          <w:top w:w="28" w:type="dxa"/>
          <w:left w:w="28" w:type="dxa"/>
          <w:bottom w:w="28" w:type="dxa"/>
          <w:right w:w="28" w:type="dxa"/>
        </w:tblCellMar>
      </w:tblPr>
      <w:tblGrid>
        <w:gridCol w:w="124"/>
        <w:gridCol w:w="676"/>
        <w:gridCol w:w="676"/>
        <w:gridCol w:w="676"/>
        <w:gridCol w:w="2099"/>
        <w:gridCol w:w="2099"/>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CREDIT REAL ESTATE INCOME TRUST,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C. FORMAN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C. Forman</w:t>
              <w:br/>
              <w:t>Chief Executive Officer, President and Chairman</w:t>
              <w:br/>
              <w:t>(Principal Executive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GOLD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Brian Gold</w:t>
              <w:br/>
              <w:t xml:space="preserve">Chief Financial Officer and Treasurer (Principal Financial and Accounting Officer)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I, Michael C. Forman, certify that:</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FS Credit Real Estate Income Trust, Inc.;</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120" w:after="22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bl>
      <w:tblPr>
        <w:tblW w:w="2385" w:type="dxa"/>
        <w:jc w:val="lef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val="false"/>
                <w:color w:val="000000"/>
                <w:sz w:val="20"/>
              </w:rPr>
              <w:t>/</w:t>
            </w:r>
            <w:r>
              <w:rPr>
                <w:rFonts w:ascii="Times New Roman;serif" w:hAnsi="Times New Roman;serif"/>
                <w:b w:val="false"/>
                <w:color w:val="000000"/>
                <w:sz w:val="14"/>
              </w:rPr>
              <w:t>S</w:t>
            </w:r>
            <w:r>
              <w:rPr>
                <w:rFonts w:ascii="Times New Roman;serif" w:hAnsi="Times New Roman;serif"/>
                <w:b w:val="false"/>
                <w:color w:val="000000"/>
                <w:sz w:val="20"/>
              </w:rPr>
              <w:t>/ MICHAEL C. FORMAN</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Michael C. Forman</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Chief Executive Officer</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I, Brian Gold, certify that:</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FS Credit Real Estate Income Trust, Inc.;</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bl>
      <w:tblPr>
        <w:tblW w:w="4199" w:type="dxa"/>
        <w:jc w:val="left"/>
        <w:tblInd w:w="0" w:type="dxa"/>
        <w:tblLayout w:type="fixed"/>
        <w:tblCellMar>
          <w:top w:w="28" w:type="dxa"/>
          <w:left w:w="28" w:type="dxa"/>
          <w:bottom w:w="28" w:type="dxa"/>
          <w:right w:w="28" w:type="dxa"/>
        </w:tblCellMar>
      </w:tblPr>
      <w:tblGrid>
        <w:gridCol w:w="1344"/>
        <w:gridCol w:w="1178"/>
        <w:gridCol w:w="1677"/>
      </w:tblGrid>
      <w:tr>
        <w:trPr/>
        <w:tc>
          <w:tcPr>
            <w:tcW w:w="134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val="false"/>
                <w:color w:val="000000"/>
                <w:sz w:val="20"/>
              </w:rPr>
              <w:t>/</w:t>
            </w:r>
            <w:r>
              <w:rPr>
                <w:rFonts w:ascii="Times New Roman;serif" w:hAnsi="Times New Roman;serif"/>
                <w:b w:val="false"/>
                <w:color w:val="000000"/>
                <w:sz w:val="14"/>
              </w:rPr>
              <w:t>S</w:t>
            </w:r>
            <w:r>
              <w:rPr>
                <w:rFonts w:ascii="Times New Roman;serif" w:hAnsi="Times New Roman;serif"/>
                <w:b w:val="false"/>
                <w:color w:val="000000"/>
                <w:sz w:val="20"/>
              </w:rPr>
              <w:t>/ BRIAN GOLD</w:t>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Brian Gold</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Chief Financial Officer</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20"/>
        <w:jc w:val="right"/>
        <w:rPr/>
      </w:pPr>
      <w:r>
        <w:rPr/>
      </w:r>
    </w:p>
    <w:p>
      <w:pPr>
        <w:pStyle w:val="TextBody"/>
        <w:bidi w:val="0"/>
        <w:spacing w:lineRule="auto" w:line="333"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333"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FS Credit Real Estate Income Trust, Inc. (the “Company”) for the quarter ended June 30, 2026, as filed with the Securities and Exchange Commission on the date hereof (the “Form 10-Q”), Michael C. Forman, as Chief Executive Officer of the Company, and Brian Gold, as Chief Financial Officer of the Company, each hereby certifies, pursuant to 18 U.S.C. Section 1350, as adopted pursuant to Section 906 of the Sarbanes-Oxley Act of 2002, that, to his knowledge: </w:t>
      </w:r>
    </w:p>
    <w:p>
      <w:pPr>
        <w:pStyle w:val="TextBody"/>
        <w:bidi w:val="0"/>
        <w:spacing w:lineRule="auto" w:line="333" w:before="120" w:after="120"/>
        <w:ind w:left="0" w:right="0" w:hanging="225"/>
        <w:jc w:val="left"/>
        <w:rPr/>
      </w:pPr>
      <w:r>
        <w:rPr>
          <w:color w:val="000000"/>
        </w:rPr>
        <w:t>•</w:t>
      </w:r>
      <w:r>
        <w:rPr>
          <w:rFonts w:ascii="Times New Roman;serif" w:hAnsi="Times New Roman;serif"/>
          <w:b w:val="false"/>
          <w:color w:val="000000"/>
          <w:sz w:val="20"/>
        </w:rPr>
        <w:t xml:space="preserve">the Form 10-Q of the Company fully complies with the requirements of Section 13(a) or 15(d) of the Securities Exchange Act of 1934 (15 U.S.C. 78m or 78o(d)); and </w:t>
      </w:r>
    </w:p>
    <w:p>
      <w:pPr>
        <w:pStyle w:val="TextBody"/>
        <w:bidi w:val="0"/>
        <w:spacing w:lineRule="auto" w:line="333" w:before="120" w:after="120"/>
        <w:ind w:left="0" w:right="0" w:hanging="225"/>
        <w:jc w:val="left"/>
        <w:rPr/>
      </w:pPr>
      <w:r>
        <w:rPr>
          <w:color w:val="000000"/>
        </w:rPr>
        <w:t>•</w:t>
      </w:r>
      <w:r>
        <w:rPr>
          <w:rFonts w:ascii="Times New Roman;serif" w:hAnsi="Times New Roman;serif"/>
          <w:b w:val="false"/>
          <w:color w:val="000000"/>
          <w:sz w:val="20"/>
        </w:rPr>
        <w:t xml:space="preserve">the information contained in the Form 10-Q fairly presents, in all material respects, the financial condition and results of operations of the Company. </w:t>
      </w:r>
    </w:p>
    <w:p>
      <w:pPr>
        <w:pStyle w:val="TextBody"/>
        <w:bidi w:val="0"/>
        <w:spacing w:before="120" w:after="120"/>
        <w:jc w:val="left"/>
        <w:rPr/>
      </w:pPr>
      <w:r>
        <w:rPr/>
      </w:r>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p>
      <w:pPr>
        <w:pStyle w:val="TextBody"/>
        <w:bidi w:val="0"/>
        <w:spacing w:before="120" w:after="120"/>
        <w:jc w:val="left"/>
        <w:rPr/>
      </w:pPr>
      <w:r>
        <w:rPr/>
      </w:r>
    </w:p>
    <w:tbl>
      <w:tblPr>
        <w:tblW w:w="4199" w:type="dxa"/>
        <w:jc w:val="left"/>
        <w:tblInd w:w="0" w:type="dxa"/>
        <w:tblLayout w:type="fixed"/>
        <w:tblCellMar>
          <w:top w:w="28" w:type="dxa"/>
          <w:left w:w="28" w:type="dxa"/>
          <w:bottom w:w="28" w:type="dxa"/>
          <w:right w:w="28" w:type="dxa"/>
        </w:tblCellMar>
      </w:tblPr>
      <w:tblGrid>
        <w:gridCol w:w="1343"/>
        <w:gridCol w:w="1181"/>
        <w:gridCol w:w="1675"/>
      </w:tblGrid>
      <w:tr>
        <w:trPr/>
        <w:tc>
          <w:tcPr>
            <w:tcW w:w="134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val="false"/>
                <w:color w:val="000000"/>
                <w:sz w:val="20"/>
              </w:rPr>
              <w:t>/</w:t>
            </w:r>
            <w:r>
              <w:rPr>
                <w:rFonts w:ascii="Times New Roman;serif" w:hAnsi="Times New Roman;serif"/>
                <w:b w:val="false"/>
                <w:color w:val="000000"/>
                <w:sz w:val="14"/>
              </w:rPr>
              <w:t>S</w:t>
            </w:r>
            <w:r>
              <w:rPr>
                <w:rFonts w:ascii="Times New Roman;serif" w:hAnsi="Times New Roman;serif"/>
                <w:b w:val="false"/>
                <w:color w:val="000000"/>
                <w:sz w:val="20"/>
              </w:rPr>
              <w:t>/ MICHAEL C. FORMAN</w:t>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Michael C. Forman</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Chief Executive Officer</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(Principal Executive Officer)</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val="false"/>
                <w:color w:val="000000"/>
                <w:sz w:val="20"/>
              </w:rPr>
              <w:t>/</w:t>
            </w:r>
            <w:r>
              <w:rPr>
                <w:rFonts w:ascii="Times New Roman;serif" w:hAnsi="Times New Roman;serif"/>
                <w:b w:val="false"/>
                <w:color w:val="000000"/>
                <w:sz w:val="14"/>
              </w:rPr>
              <w:t>S</w:t>
            </w:r>
            <w:r>
              <w:rPr>
                <w:rFonts w:ascii="Times New Roman;serif" w:hAnsi="Times New Roman;serif"/>
                <w:b w:val="false"/>
                <w:color w:val="000000"/>
                <w:sz w:val="20"/>
              </w:rPr>
              <w:t>/ BRIAN GOLD</w:t>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Brian Gold</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Chief Financial Officer</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(Principal Financial Officer and Principal Accounting Officer)</w:t>
            </w:r>
          </w:p>
        </w:tc>
      </w:tr>
    </w:tbl>
    <w:p>
      <w:pPr>
        <w:pStyle w:val="TextBody"/>
        <w:bidi w:val="0"/>
        <w:spacing w:before="12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0536/000119312517279375/d259140dex31.htm" TargetMode="External"/><Relationship Id="rId3" Type="http://schemas.openxmlformats.org/officeDocument/2006/relationships/hyperlink" Target="https://www.sec.gov/Archives/edgar/data/1690536/000138713118004080/ex3-1.htm" TargetMode="External"/><Relationship Id="rId4" Type="http://schemas.openxmlformats.org/officeDocument/2006/relationships/hyperlink" Target="https://www.sec.gov/Archives/edgar/data/1690536/000119312519221229/d788024dex33.htm" TargetMode="External"/><Relationship Id="rId5" Type="http://schemas.openxmlformats.org/officeDocument/2006/relationships/hyperlink" Target="https://www.sec.gov/Archives/edgar/data/0001690536/000119312522124324/d333610dex31.htm" TargetMode="External"/><Relationship Id="rId6" Type="http://schemas.openxmlformats.org/officeDocument/2006/relationships/hyperlink" Target="https://www.sec.gov/Archives/edgar/data/1690536/000119312517040684/d259140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35838</Words>
  <Characters>198630</Characters>
  <CharactersWithSpaces>231022</CharactersWithSpaces>
  <Paragraphs>6907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