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906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733425"/>
                    </a:xfrm>
                    <a:prstGeom prst="rect">
                      <a:avLst/>
                    </a:prstGeom>
                  </pic:spPr>
                </pic:pic>
              </a:graphicData>
            </a:graphic>
          </wp:inline>
        </w:drawing>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68" w:before="0" w:after="0"/>
        <w:jc w:val="right"/>
        <w:rPr/>
      </w:pPr>
      <w:r>
        <w:rPr>
          <w:rFonts w:ascii="Times New Roman;serif" w:hAnsi="Times New Roman;serif"/>
          <w:b/>
          <w:color w:val="000000"/>
          <w:sz w:val="20"/>
        </w:rPr>
        <w:t>File No. 333-</w:t>
      </w:r>
      <w:r>
        <w:rPr>
          <w:rFonts w:ascii="Times New Roman;serif" w:hAnsi="Times New Roman;serif"/>
          <w:b/>
          <w:color w:val="000000"/>
          <w:sz w:val="20"/>
          <w:shd w:fill="FFFFFF" w:val="clear"/>
        </w:rPr>
        <w:t>290670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8"/>
        </w:rPr>
      </w:pPr>
      <w:r>
        <w:rPr>
          <w:rFonts w:ascii="Times New Roman;serif" w:hAnsi="Times New Roman;serif"/>
          <w:b/>
          <w:color w:val="000000"/>
          <w:sz w:val="28"/>
        </w:rPr>
        <w:t>FS CREDIT REAL ESTATE INCOME TRUST, INC.</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 dated August 17,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Prospectus dated June 2, 2026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supplement (“Supplement”) contains information which amends, supplements or modifies certain information contained in the Prospectus of FS Credit Real Estate Income Trust, Inc. (“FS Credit REIT”) dated June 2, 2026 (as so supplemented and amended, the “Prospectus”). Capitalized and/or defined terms used in this Supplement have the same meanings as in the Prospectus, unless otherwise stated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“Risk Factors” beginning on page 31 of the Prospectus before you decide to invest in shares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September 1,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calculation of our July 31, 2026 net asset value (“NAV”) per share for all share classes;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 market update;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updates to our portfolio and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certain updates to our Prospectus;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include our Quarterly Report on Form 10-Q for the quarter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September 1, 2026 Transaction Price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for subscriptions accepted as of September 1, 2026 (and repurchases as of August 31, 2026) is as follows:</w:t>
      </w:r>
    </w:p>
    <w:p>
      <w:pPr>
        <w:pStyle w:val="TextBody"/>
        <w:bidi w:val="0"/>
        <w:spacing w:before="0" w:after="0"/>
        <w:jc w:val="both"/>
        <w:rPr/>
      </w:pPr>
      <w:r>
        <w:rPr/>
      </w:r>
    </w:p>
    <w:tbl>
      <w:tblPr>
        <w:tblW w:w="3478" w:type="dxa"/>
        <w:jc w:val="center"/>
        <w:tblInd w:w="0" w:type="dxa"/>
        <w:tblLayout w:type="fixed"/>
        <w:tblCellMar>
          <w:top w:w="28" w:type="dxa"/>
          <w:left w:w="28" w:type="dxa"/>
          <w:bottom w:w="28" w:type="dxa"/>
          <w:right w:w="28" w:type="dxa"/>
        </w:tblCellMar>
      </w:tblPr>
      <w:tblGrid>
        <w:gridCol w:w="303"/>
        <w:gridCol w:w="267"/>
        <w:gridCol w:w="269"/>
        <w:gridCol w:w="772"/>
        <w:gridCol w:w="772"/>
        <w:gridCol w:w="1095"/>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Price (per share)</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$24.7092</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$24.4460</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$24.5025</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M</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$24.5731</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$23.7907</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$25.0927</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Y*</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$23.7768</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68" w:before="0" w:after="0"/>
        <w:jc w:val="left"/>
        <w:rPr/>
      </w:pPr>
      <w:r>
        <w:rPr>
          <w:rFonts w:ascii="Times New Roman;serif" w:hAnsi="Times New Roman;serif"/>
          <w:b/>
          <w:color w:val="000000"/>
          <w:sz w:val="18"/>
          <w:shd w:fill="FFFFFF" w:val="clear"/>
        </w:rPr>
        <w:t>*</w:t>
      </w:r>
      <w:r>
        <w:rPr>
          <w:rFonts w:ascii="Times New Roman;serif" w:hAnsi="Times New Roman;serif"/>
          <w:b w:val="false"/>
          <w:color w:val="000000"/>
          <w:sz w:val="18"/>
          <w:shd w:fill="FFFFFF" w:val="clear"/>
        </w:rPr>
        <w:t>We are offering Class F and Class Y shares in this offering only pursuant to our distribution reinvestment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September 1, 2026 transaction price for each of our share classes is equal to such class’s NAV per share as of July 31, 2026. A detailed calculation of the NAV per share is set forth below. No transactions or events have occurred since July 31, 2026 that would have a material impact on our NAV per share. The purchase price of our common stock for each share class equals the transaction price of such class, plus applicable upfront selling commissions and dealer manager fees.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July 31, 2026 NAV per Share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 xml:space="preserve">Our adviser calculates the NAV per share in accordance with the valuation guidelines approved by our board of directors for the purposes of establishing a price for shares sold in our public offering as well as establishing a repurchase price for shares repurchased pursuant to our share repurchase plan. Our NAV per share, which is updated as of the last calendar day of each month, is posted on our website at </w:t>
      </w:r>
      <w:r>
        <w:rPr>
          <w:rFonts w:ascii="Times New Roman;serif" w:hAnsi="Times New Roman;serif"/>
          <w:b w:val="false"/>
          <w:i/>
          <w:color w:val="000000"/>
          <w:sz w:val="20"/>
        </w:rPr>
        <w:t>www.fscreit.com</w:t>
      </w:r>
      <w:r>
        <w:rPr>
          <w:color w:val="000000"/>
        </w:rPr>
        <w:t xml:space="preserve"> </w:t>
      </w:r>
      <w:r>
        <w:rPr>
          <w:rFonts w:ascii="Times New Roman;serif" w:hAnsi="Times New Roman;serif"/>
          <w:b w:val="false"/>
          <w:color w:val="000000"/>
          <w:sz w:val="20"/>
        </w:rPr>
        <w:t xml:space="preserve">and is made available on our toll-free telephone line at </w:t>
      </w:r>
      <w:r>
        <w:rPr>
          <w:rFonts w:ascii="Times New Roman;serif" w:hAnsi="Times New Roman;serif"/>
          <w:b w:val="false"/>
          <w:color w:val="000000"/>
          <w:sz w:val="20"/>
          <w:shd w:fill="FFFFFF" w:val="clear"/>
        </w:rPr>
        <w:t>877-628-8575</w:t>
      </w:r>
      <w:r>
        <w:rPr>
          <w:rFonts w:ascii="Times New Roman;serif" w:hAnsi="Times New Roman;serif"/>
          <w:b w:val="false"/>
          <w:color w:val="000000"/>
          <w:sz w:val="20"/>
        </w:rPr>
        <w:t>. Please refer to “Net Asset Value Calculation and Valuation Guidelines” in the Prospectus for how our NAV is determined. We have included a breakdown of the components of total NAV and NAV per share for July 31,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our total NAV as of July 31, 2026 (dollar amounts in thousands):</w:t>
      </w:r>
    </w:p>
    <w:p>
      <w:pPr>
        <w:pStyle w:val="TextBody"/>
        <w:bidi w:val="0"/>
        <w:spacing w:before="0" w:after="0"/>
        <w:jc w:val="left"/>
        <w:rPr/>
      </w:pPr>
      <w:r>
        <w:rPr/>
      </w:r>
    </w:p>
    <w:tbl>
      <w:tblPr>
        <w:tblW w:w="6917" w:type="dxa"/>
        <w:jc w:val="left"/>
        <w:tblInd w:w="0" w:type="dxa"/>
        <w:tblLayout w:type="fixed"/>
        <w:tblCellMar>
          <w:top w:w="28" w:type="dxa"/>
          <w:left w:w="28" w:type="dxa"/>
          <w:bottom w:w="28" w:type="dxa"/>
          <w:right w:w="28" w:type="dxa"/>
        </w:tblCellMar>
      </w:tblPr>
      <w:tblGrid>
        <w:gridCol w:w="1901"/>
        <w:gridCol w:w="1671"/>
        <w:gridCol w:w="1677"/>
        <w:gridCol w:w="109"/>
        <w:gridCol w:w="109"/>
        <w:gridCol w:w="109"/>
        <w:gridCol w:w="211"/>
        <w:gridCol w:w="976"/>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Components of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 payable,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payable,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123,394,965 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
        <w:gridCol w:w="130"/>
        <w:gridCol w:w="109"/>
        <w:gridCol w:w="2873"/>
        <w:gridCol w:w="2873"/>
        <w:gridCol w:w="4072"/>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 servicing fees only apply to Class S, Class T, Class D and Class M shares. For purposes of NAV, we recognize the stockholder servicing fee as a reduction of NAV on a daily basis as such fee is accrued. Under U.S. generally accepted accounting principles (“GAAP”), we accrue future stockholder servicing fees in an amount equal to our best estimate of fees payable to the dealer manager at the time such shares are sold. As of July 31, 2026, we accrued under GAAP $84,669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 by share class as of July 31, 2026 (dollar amounts in thousands, except per share data):</w:t>
      </w:r>
    </w:p>
    <w:tbl>
      <w:tblPr>
        <w:tblW w:w="12340" w:type="dxa"/>
        <w:jc w:val="left"/>
        <w:tblInd w:w="0" w:type="dxa"/>
        <w:tblLayout w:type="fixed"/>
        <w:tblCellMar>
          <w:top w:w="28" w:type="dxa"/>
          <w:left w:w="28" w:type="dxa"/>
          <w:bottom w:w="28" w:type="dxa"/>
          <w:right w:w="28" w:type="dxa"/>
        </w:tblCellMar>
      </w:tblPr>
      <w:tblGrid>
        <w:gridCol w:w="478"/>
        <w:gridCol w:w="285"/>
        <w:gridCol w:w="183"/>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NAV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outstanding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50,285,745 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123,394,965 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 as of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Update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U.S. Treasury yields rose across the curve in July driven by policymakers’ hawkish turn amid a mix of resilient U.S. economic data (retail sales and employment data) and spiking energy prices. Both the 2-year and 10-year Treasury yields reached their highest points since January 2025. The 2-year yield rose 11 basis points (bps) in July, to 4.29% while the 10-year rose 26 bps, to 4.73%. Year to date, 2- and 10-year yields are up 81 bps and 56 bps, respectively. The Bloomberg U.S. Aggregate Index returned -1.30% in July. Amid persistent interest rate volatility over the past five years, it has returned -0.40%.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CRE transaction activity and pricing remained uneven during Q2 2026 yet extended their gradual recoveries.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Commercial property transaction volume totaled approximately $137 billion in Q2 2026. While deal volume declined -2% from Q1, it increased 14% year over year, supported by strong industrial activity, which accounted for roughly $33 billion of volume. Data center transactions totaled approximately $8 billion, up approximately 1,800% from very limited activity a year earlier.</w:t>
      </w:r>
      <w:r>
        <w:rPr>
          <w:rFonts w:ascii="Times New Roman;serif" w:hAnsi="Times New Roman;serif"/>
          <w:b w:val="false"/>
          <w:color w:val="000000"/>
          <w:sz w:val="13"/>
        </w:rPr>
        <w:t>1</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Property prices rose 0.9% year over year in June, slowing from 1.6% in May. However, prices increased 0.9% during Q2, implying a faster annualized pace of roughly 2.8%. Retail (+1.4%) and office (+0.7%) price gains more than offset a -1.2% decline in apartment pricing during the quarter.</w:t>
      </w:r>
      <w:r>
        <w:rPr>
          <w:rFonts w:ascii="Times New Roman;serif" w:hAnsi="Times New Roman;serif"/>
          <w:b w:val="false"/>
          <w:color w:val="000000"/>
          <w:sz w:val="13"/>
        </w:rPr>
        <w:t>1</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Fundamentals across most property types remain supportive.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Surging borrowing costs in recent years suppressed construction activity and led to a sharp reduction in completions last year, which should remain in place over the next 2-3 years. Multifamily and industrial completions have seen the largest declines, while supply growth in retail and office remains minimal.</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Meanwhile, NOI and occupancy levels remain healthy across sectors.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Even the office market, where weakness persists primarily among older properties that feature fewer modern amenities, appears to be turning a corner as recent months’ pricing and volume attest.</w:t>
      </w:r>
      <w:r>
        <w:rPr>
          <w:rFonts w:ascii="Times New Roman;serif" w:hAnsi="Times New Roman;serif"/>
          <w:b w:val="false"/>
          <w:color w:val="000000"/>
          <w:sz w:val="13"/>
        </w:rPr>
        <w:t>1</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an environment where property fundamentals are stabilizing but capital appreciation has yet to return as a meaningful driver of returns, debt may offer the most efficient way to generate return while preserving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need for capital to refinance maturing loans is substantial. Roughly $2.1 trillion in CRE debt—more than a third of all outstanding—will mature by the end of 2028. This presents a significant opportunity for lenders to refinance existing loans on more favorable terms or originate new loans in a more disciplined underwriting environment.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Performance update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FS Credit REIT generated positive total returns across all share classes in July: Class I (0.41%), Class S (0.31%), Class T (0.31%), Class D (0.36%), Class M (0.36%), Class F (0.51%) and Class Y (0.51%). As of July 31, 2026, FS Credit REIT has achieved 76 consecutive months of positive total returns across varying macroeconomic conditions and financial markets including a highly volatile interest rate environment. Detractors to performance during the month included unrealized depreciation in select commercial mortgage-backed securities (CMBS), which are valued based on publicly available market quotes, as well as distributions that were modestly higher than net investment income generated during the period.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FS Credit REIT’s excess income (Class I shares) over three-month U.S. Treasury bills was approximately 365 bps as of July 31, 2026.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The current annualized distribution rate is 7.46% for Class I shares, 6.93% for Class D shares, 6.91% for Class M shares, 6.31% for Class S shares, 6.38% for Class T shares, 8.30% for Class F shares and 8.78% for Class Y shares based on the September 1, 2026 transaction price.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tax equivalent distribution rate is 8.34% for Class I shares, 7.74% for Class D shares, 7.72% for Class M shares, 7.05% for Class S shares, 7.13% for Class T shares, 9.27% for Class F shares and 9.81% for Class Y shares based on the September 1, 2026 transaction price.</w:t>
      </w:r>
      <w:r>
        <w:rPr>
          <w:rFonts w:ascii="Times New Roman;serif" w:hAnsi="Times New Roman;serif"/>
          <w:b w:val="false"/>
          <w:color w:val="000000"/>
          <w:sz w:val="13"/>
        </w:rPr>
        <w:t>2</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met 100% of repurchase requests in July.</w:t>
      </w:r>
    </w:p>
    <w:p>
      <w:pPr>
        <w:pStyle w:val="TextBody"/>
        <w:bidi w:val="0"/>
        <w:spacing w:lineRule="auto" w:line="288" w:before="120" w:after="120"/>
        <w:jc w:val="left"/>
        <w:rPr/>
      </w:pPr>
      <w:r>
        <w:rPr>
          <w:rFonts w:ascii="Times New Roman;serif" w:hAnsi="Times New Roman;serif"/>
          <w:b/>
          <w:color w:val="000000"/>
          <w:sz w:val="20"/>
        </w:rPr>
        <w:t>Portfolio highlights</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34390"/>
                <wp:effectExtent l="0" t="0" r="0" b="0"/>
                <wp:wrapNone/>
                <wp:docPr id="4" name="Frame3"/>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June 2026, latest data available.</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8.34% to match the after-tax income of a REIT with an annualized distribution rate of 7.46%.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June 2026, latest data available.</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8.34% to match the after-tax income of a REIT with an annualized distribution rate of 7.46%.</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originated a $53.3 million senior loan secured by a 546-unit multifamily portfolio across a diverse range of supply-constrained San Francisco neighborhoods ranging from lifestyle-driven neighborhoods (Marina, Haight-Ashbury), affluent residential enclaves (Pacific Heights), and mixed-use/tourism corridors (North Beach, Nob Hill, Chinatown). The portfolio provides diversified tenant demand across professionals, service-sector employees, and retail/hospitality workers and is sponsored by a highly experienced leader specializing in West Coast gateway markets. The portfolio features below market rents and may provide embedded revenue upside. The loan was structured with lender protections designed to enhance cash flow oversight and downside protection.</w:t>
      </w:r>
    </w:p>
    <w:p>
      <w:pPr>
        <w:pStyle w:val="TextBody"/>
        <w:bidi w:val="0"/>
        <w:spacing w:lineRule="auto" w:line="288" w:before="120" w:after="120"/>
        <w:jc w:val="left"/>
        <w:rPr/>
      </w:pPr>
      <w:r>
        <w:rPr>
          <w:rFonts w:ascii="Times New Roman;serif" w:hAnsi="Times New Roman;serif"/>
          <w:b w:val="false"/>
          <w:color w:val="000000"/>
          <w:sz w:val="20"/>
        </w:rPr>
        <w:t>Assets on nonaccrual represented 3.07% of the portfolio as of July 31, 2026.</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are actively working to reduce the non-accruals in a way that we believe can help maximize shareholder value, whether through refinancing the loans, taking ownership of the property or selling the loan to a new buyer.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commercial real estate market is at an inflection point today, supported by stabilization in property values across sectors, gradually improving transaction volume and resilient fundamentals.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our view, the portfolio is well-positioned to deliver an attractive, high level of income and preserve capital driven by the:</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Debt-focused nature of our strategy</w:t>
      </w:r>
      <w:r>
        <w:rPr>
          <w:color w:val="000000"/>
        </w:rPr>
        <w:t xml:space="preserve"> </w:t>
      </w:r>
      <w:r>
        <w:rPr>
          <w:rFonts w:ascii="Times New Roman;serif" w:hAnsi="Times New Roman;serif"/>
          <w:b w:val="false"/>
          <w:color w:val="000000"/>
          <w:sz w:val="20"/>
        </w:rPr>
        <w:t xml:space="preserve">as we believe forward returns in CRE will largely be driven by income generation compared to price appreciation.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Relative level of income above cash yields.</w:t>
      </w:r>
      <w:r>
        <w:rPr>
          <w:color w:val="000000"/>
        </w:rPr>
        <w:t xml:space="preserve"> </w:t>
      </w:r>
      <w:r>
        <w:rPr>
          <w:rFonts w:ascii="Times New Roman;serif" w:hAnsi="Times New Roman;serif"/>
          <w:b w:val="false"/>
          <w:color w:val="000000"/>
          <w:sz w:val="20"/>
        </w:rPr>
        <w:t>FS Credit REIT offers an attractive level of excess income over risk-free rates. In addition, the tax-advantaged nature of our distributions allows individual investors to deduct up to 20% of qualified REIT dividends under Section 199A, resulting in a highly attractive tax-equivalent and after-tax yield that compares favorably with many corporate private credit investments.</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Available liquidity for new investments.</w:t>
      </w:r>
      <w:r>
        <w:rPr>
          <w:color w:val="000000"/>
        </w:rPr>
        <w:t xml:space="preserve"> </w:t>
      </w:r>
      <w:r>
        <w:rPr>
          <w:rFonts w:ascii="Times New Roman;serif" w:hAnsi="Times New Roman;serif"/>
          <w:b w:val="false"/>
          <w:color w:val="000000"/>
          <w:sz w:val="20"/>
        </w:rPr>
        <w:t xml:space="preserve">We have maintained a strong liquidity profile which—when combined with proceeds from our continuous offering, and the natural turnover of the portfolio—positions us to capitalize on a robust new origination pipeline.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Continued strong performance of the portfolio.</w:t>
      </w:r>
      <w:r>
        <w:rPr>
          <w:color w:val="000000"/>
        </w:rPr>
        <w:t xml:space="preserve"> </w:t>
      </w:r>
      <w:r>
        <w:rPr>
          <w:rFonts w:ascii="Times New Roman;serif" w:hAnsi="Times New Roman;serif"/>
          <w:b w:val="false"/>
          <w:color w:val="000000"/>
          <w:sz w:val="20"/>
        </w:rPr>
        <w:t xml:space="preserve">FS Credit REIT has generated positive total returns in 100 out of 102 months; its largest monthly drawdown was just -0.27% in March 2020.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High level of equity cushion beneath our loans.</w:t>
      </w:r>
      <w:r>
        <w:rPr>
          <w:color w:val="000000"/>
        </w:rPr>
        <w:t xml:space="preserve"> </w:t>
      </w:r>
      <w:r>
        <w:rPr>
          <w:rFonts w:ascii="Times New Roman;serif" w:hAnsi="Times New Roman;serif"/>
          <w:b w:val="false"/>
          <w:color w:val="000000"/>
          <w:sz w:val="20"/>
        </w:rPr>
        <w:t>As a senior lender, the loans in our portfolio receive priority over equity investors (property owners). They are first to be paid from rental income and are last to absorb losses if property values decline. Approximately 86% of FS Credit REIT’s portfolio is comprised of private senior loans that are held to maturity at amortized cost and subject to impairment. Therefore, the net asset value is determined primarily on fundamental value rather than market sentiment.</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Deep experience of Future Standard and Rialto managing through CRE market cycles.</w:t>
      </w:r>
      <w:r>
        <w:rPr>
          <w:color w:val="000000"/>
        </w:rPr>
        <w:t xml:space="preserve"> </w:t>
      </w:r>
      <w:r>
        <w:rPr>
          <w:rFonts w:ascii="Times New Roman;serif" w:hAnsi="Times New Roman;serif"/>
          <w:b w:val="false"/>
          <w:color w:val="000000"/>
          <w:sz w:val="20"/>
        </w:rPr>
        <w:t xml:space="preserve">We continue to monitor the portfolio and are proactively engaged with our borrowers. We remain focused on reducing the level of loans on nonaccrual in the portfolio and maximizing shareholder value for the select number of foreclosed properties.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Geographically diversified composition of our approximately $9.7 billion portfolio,</w:t>
      </w:r>
      <w:r>
        <w:rPr>
          <w:color w:val="000000"/>
        </w:rPr>
        <w:t xml:space="preserve"> </w:t>
      </w:r>
      <w:r>
        <w:rPr>
          <w:rFonts w:ascii="Times New Roman;serif" w:hAnsi="Times New Roman;serif"/>
          <w:b w:val="false"/>
          <w:color w:val="000000"/>
          <w:sz w:val="20"/>
        </w:rPr>
        <w:t xml:space="preserve">weighted to multifamily properties.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The long-term nature of our borrowings.</w:t>
      </w:r>
      <w:r>
        <w:rPr>
          <w:color w:val="000000"/>
        </w:rPr>
        <w:t xml:space="preserve"> </w:t>
      </w:r>
      <w:r>
        <w:rPr>
          <w:rFonts w:ascii="Times New Roman;serif" w:hAnsi="Times New Roman;serif"/>
          <w:b w:val="false"/>
          <w:color w:val="000000"/>
          <w:sz w:val="20"/>
        </w:rPr>
        <w:t xml:space="preserve">Approximately 97% of FS Credit REIT’s borrowings are financed through matched-term facilities, and approximately 82% through matched-term, non-mark-to-market facilities. This financing approach helps stabilize performance across changing rate environments, manage risk and support long-term returns.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Prospectus Updates</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suitability standard for Pennsylvania investors set forth in the “Suitability Standards” section of the Prospectus is hereby removed in its entirety.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Form of Subscription Agreement set forth in Appendix A of the Prospectus is hereby deleted and replaced with the Form of Subscription Agreement attached to this Supplement as Appendix A.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5435"/>
                <wp:effectExtent l="0" t="0" r="0" b="0"/>
                <wp:wrapNone/>
                <wp:docPr id="5" name="Frame4"/>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88" w:before="0" w:after="60"/>
                              <w:ind w:left="0" w:right="0" w:hanging="450"/>
                              <w:jc w:val="left"/>
                              <w:rPr/>
                            </w:pPr>
                            <w:r>
                              <w:rPr>
                                <w:rFonts w:ascii="Times New Roman;serif" w:hAnsi="Times New Roman;serif"/>
                                <w:b w:val="false"/>
                                <w:color w:val="000000"/>
                                <w:sz w:val="16"/>
                              </w:rPr>
                              <w:t>(3)    Represents non-accrual debt investments as a percentage of FS Credit Real Estate Income Trust, Inc.’s total debt portfolio</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6"/>
                        </w:rPr>
                        <w:t>(3)    Represents non-accrual debt investments as a percentage of FS Credit Real Estate Income Trust, Inc.’s total debt portfolio</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68" w:before="120" w:after="120"/>
        <w:jc w:val="left"/>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Prospectus is hereby supplemented with our Quarterly Report on Form 10-Q, excluding exhibits, for the quarter ended June 30, 2026 that was filed with the SEC on August 14, 2026, a copy of which is attached to this Supplement as Appendix B.</w:t>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A</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95400" cy="4572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295400" cy="457200"/>
                    </a:xfrm>
                    <a:prstGeom prst="rect">
                      <a:avLst/>
                    </a:prstGeom>
                  </pic:spPr>
                </pic:pic>
              </a:graphicData>
            </a:graphic>
          </wp:inline>
        </w:drawing>
      </w:r>
    </w:p>
    <w:p>
      <w:pPr>
        <w:pStyle w:val="TextBody"/>
        <w:bidi w:val="0"/>
        <w:spacing w:before="0" w:after="0"/>
        <w:jc w:val="left"/>
        <w:rPr/>
      </w:pPr>
      <w:r>
        <w:rPr/>
      </w:r>
    </w:p>
    <w:p>
      <w:pPr>
        <w:pStyle w:val="TextBody"/>
        <w:bidi w:val="0"/>
        <w:spacing w:before="471" w:after="283"/>
        <w:jc w:val="left"/>
        <w:rPr/>
      </w:pPr>
      <w:r>
        <w:rPr/>
      </w:r>
    </w:p>
    <w:p>
      <w:pPr>
        <w:pStyle w:val="TextBody"/>
        <w:bidi w:val="0"/>
        <w:spacing w:lineRule="auto" w:line="240" w:before="471" w:after="283"/>
        <w:jc w:val="right"/>
        <w:rPr>
          <w:rFonts w:ascii="Times New Roman;serif" w:hAnsi="Times New Roman;serif"/>
          <w:b/>
          <w:color w:val="231F20"/>
          <w:sz w:val="44"/>
        </w:rPr>
      </w:pPr>
      <w:r>
        <w:rPr>
          <w:rFonts w:ascii="Times New Roman;serif" w:hAnsi="Times New Roman;serif"/>
          <w:b/>
          <w:color w:val="231F20"/>
          <w:sz w:val="44"/>
        </w:rPr>
        <w:t>Subscription agreement</w:t>
      </w:r>
    </w:p>
    <w:p>
      <w:pPr>
        <w:pStyle w:val="TextBody"/>
        <w:bidi w:val="0"/>
        <w:spacing w:lineRule="atLeast" w:line="211" w:before="193" w:after="283"/>
        <w:jc w:val="left"/>
        <w:rPr>
          <w:rFonts w:ascii="Times New Roman;serif" w:hAnsi="Times New Roman;serif"/>
          <w:b w:val="false"/>
          <w:color w:val="231F20"/>
          <w:sz w:val="20"/>
        </w:rPr>
      </w:pPr>
      <w:r>
        <w:rPr>
          <w:rFonts w:ascii="Times New Roman;serif" w:hAnsi="Times New Roman;serif"/>
          <w:b w:val="false"/>
          <w:color w:val="231F20"/>
          <w:sz w:val="20"/>
        </w:rPr>
        <w:t>Class D, Class I, Class M, Class S and Class T V6.3</w:t>
      </w:r>
    </w:p>
    <w:p>
      <w:pPr>
        <w:pStyle w:val="TextBody"/>
        <w:bidi w:val="0"/>
        <w:spacing w:lineRule="auto" w:line="288" w:before="0" w:after="0"/>
        <w:jc w:val="left"/>
        <w:rPr>
          <w:rFonts w:ascii="Times New Roman;serif" w:hAnsi="Times New Roman;serif"/>
          <w:b/>
          <w:color w:val="231F20"/>
          <w:sz w:val="50"/>
        </w:rPr>
      </w:pPr>
      <w:r>
        <w:rPr>
          <w:rFonts w:ascii="Times New Roman;serif" w:hAnsi="Times New Roman;serif"/>
          <w:b/>
          <w:color w:val="231F20"/>
          <w:sz w:val="50"/>
        </w:rPr>
        <w:t>FS Credit Real Estate Income Trust, Inc.</w:t>
      </w:r>
    </w:p>
    <w:p>
      <w:pPr>
        <w:pStyle w:val="TextBody"/>
        <w:bidi w:val="0"/>
        <w:spacing w:lineRule="auto" w:line="321" w:before="45" w:after="283"/>
        <w:jc w:val="left"/>
        <w:rPr>
          <w:rFonts w:ascii="Times New Roman;serif" w:hAnsi="Times New Roman;serif"/>
          <w:b w:val="false"/>
          <w:color w:val="231F20"/>
          <w:sz w:val="18"/>
        </w:rPr>
      </w:pPr>
      <w:r>
        <w:rPr>
          <w:rFonts w:ascii="Times New Roman;serif" w:hAnsi="Times New Roman;serif"/>
          <w:b w:val="false"/>
          <w:color w:val="231F20"/>
          <w:sz w:val="18"/>
        </w:rPr>
        <w:t>The undersigned hereby tenders this Subscription Agreement and applies for the purchase of the dollar amount of shares of common stock (the “Shares”) of FS Credit Real Estate Income Trust, Inc., a Maryland corporation (the “Company”), set forth below.</w:t>
      </w:r>
    </w:p>
    <w:p>
      <w:pPr>
        <w:pStyle w:val="TextBody"/>
        <w:bidi w:val="0"/>
        <w:spacing w:before="4" w:after="283"/>
        <w:jc w:val="left"/>
        <w:rPr/>
      </w:pPr>
      <w:r>
        <w:rPr/>
      </w:r>
    </w:p>
    <w:tbl>
      <w:tblPr>
        <w:tblW w:w="8231" w:type="dxa"/>
        <w:jc w:val="left"/>
        <w:tblInd w:w="0" w:type="dxa"/>
        <w:tblLayout w:type="fixed"/>
        <w:tblCellMar>
          <w:top w:w="28" w:type="dxa"/>
          <w:left w:w="28" w:type="dxa"/>
          <w:bottom w:w="28" w:type="dxa"/>
          <w:right w:w="28" w:type="dxa"/>
        </w:tblCellMar>
      </w:tblPr>
      <w:tblGrid>
        <w:gridCol w:w="1156"/>
        <w:gridCol w:w="1014"/>
        <w:gridCol w:w="1017"/>
        <w:gridCol w:w="161"/>
        <w:gridCol w:w="161"/>
        <w:gridCol w:w="161"/>
        <w:gridCol w:w="1336"/>
        <w:gridCol w:w="1336"/>
        <w:gridCol w:w="1889"/>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231F20" w:val="clear"/>
            <w:tcMar>
              <w:top w:w="0" w:type="dxa"/>
              <w:left w:w="0" w:type="dxa"/>
              <w:bottom w:w="0" w:type="dxa"/>
              <w:right w:w="0" w:type="dxa"/>
            </w:tcMar>
            <w:vAlign w:val="center"/>
          </w:tcPr>
          <w:p>
            <w:pPr>
              <w:pStyle w:val="TableContents"/>
              <w:bidi w:val="0"/>
              <w:spacing w:lineRule="auto" w:line="288" w:before="5" w:after="283"/>
              <w:jc w:val="center"/>
              <w:rPr/>
            </w:pPr>
            <w:r>
              <w:rPr>
                <w:color w:val="FFFFFF"/>
              </w:rPr>
              <w:t> </w:t>
            </w:r>
            <w:r>
              <w:rPr>
                <w:rFonts w:ascii="Times New Roman;serif" w:hAnsi="Times New Roman;serif"/>
                <w:b w:val="false"/>
                <w:color w:val="FFFFFF"/>
                <w:sz w:val="22"/>
                <w:shd w:fill="231F20" w:val="clear"/>
              </w:rPr>
              <w:t>1</w:t>
            </w:r>
            <w:r>
              <w:rPr>
                <w:color w:val="FFFFFF"/>
              </w:rPr>
              <w:t xml:space="preserve"> </w:t>
            </w:r>
            <w:r>
              <w:rPr>
                <w:rFonts w:ascii="Times New Roman;serif" w:hAnsi="Times New Roman;serif"/>
                <w:b w:val="false"/>
                <w:color w:val="FFFFFF"/>
                <w:sz w:val="22"/>
                <w:shd w:fill="231F20" w:val="clear"/>
              </w:rPr>
              <w:t>Investment</w:t>
            </w:r>
            <w:r>
              <w:rPr>
                <w:color w:val="FFFFFF"/>
              </w:rPr>
              <w:t xml:space="preserve"> </w:t>
            </w:r>
            <w:r>
              <w:rPr>
                <w:rFonts w:ascii="Times New Roman;serif" w:hAnsi="Times New Roman;serif"/>
                <w:b w:val="false"/>
                <w:color w:val="FFFFFF"/>
                <w:sz w:val="22"/>
                <w:shd w:fill="231F20" w:val="clear"/>
              </w:rPr>
              <w:t>amount</w:t>
            </w:r>
          </w:p>
        </w:tc>
        <w:tc>
          <w:tcPr>
            <w:tcW w:w="483" w:type="dxa"/>
            <w:gridSpan w:val="3"/>
            <w:tcBorders/>
            <w:shd w:fill="231F20" w:val="clear"/>
            <w:tcMar>
              <w:top w:w="0" w:type="dxa"/>
              <w:left w:w="0" w:type="dxa"/>
              <w:bottom w:w="0" w:type="dxa"/>
              <w:right w:w="0" w:type="dxa"/>
            </w:tcMar>
            <w:vAlign w:val="center"/>
          </w:tcPr>
          <w:p>
            <w:pPr>
              <w:pStyle w:val="TableContents"/>
              <w:bidi w:val="0"/>
              <w:spacing w:before="5" w:after="283"/>
              <w:jc w:val="left"/>
              <w:rPr/>
            </w:pPr>
            <w:r>
              <w:rPr/>
            </w:r>
          </w:p>
        </w:tc>
        <w:tc>
          <w:tcPr>
            <w:tcW w:w="4561"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7" w:type="dxa"/>
            <w:gridSpan w:val="3"/>
            <w:tcBorders/>
            <w:tcMar>
              <w:top w:w="0" w:type="dxa"/>
              <w:left w:w="0" w:type="dxa"/>
              <w:bottom w:w="0" w:type="dxa"/>
              <w:right w:w="0" w:type="dxa"/>
            </w:tcMar>
            <w:vAlign w:val="center"/>
          </w:tcPr>
          <w:p>
            <w:pPr>
              <w:pStyle w:val="TableContents"/>
              <w:bidi w:val="0"/>
              <w:spacing w:lineRule="auto" w:line="288" w:before="110" w:after="283"/>
              <w:jc w:val="center"/>
              <w:rPr>
                <w:rFonts w:ascii="Times New Roman;serif" w:hAnsi="Times New Roman;serif"/>
                <w:b w:val="false"/>
                <w:color w:val="231F20"/>
                <w:sz w:val="16"/>
              </w:rPr>
            </w:pPr>
            <w:r>
              <w:rPr>
                <w:rFonts w:ascii="Times New Roman;serif" w:hAnsi="Times New Roman;serif"/>
                <w:b w:val="false"/>
                <w:color w:val="231F20"/>
                <w:sz w:val="16"/>
              </w:rPr>
              <w:t>Subscription amount $</w:t>
            </w:r>
          </w:p>
        </w:tc>
        <w:tc>
          <w:tcPr>
            <w:tcW w:w="483" w:type="dxa"/>
            <w:gridSpan w:val="3"/>
            <w:tcBorders>
              <w:top w:val="single" w:sz="2" w:space="0" w:color="231F20"/>
              <w:left w:val="single" w:sz="2" w:space="0" w:color="231F20"/>
              <w:bottom w:val="single" w:sz="2" w:space="0" w:color="231F20"/>
            </w:tcBorders>
            <w:tcMar>
              <w:right w:w="0" w:type="dxa"/>
            </w:tcMar>
            <w:vAlign w:val="center"/>
          </w:tcPr>
          <w:p>
            <w:pPr>
              <w:pStyle w:val="TableContents"/>
              <w:bidi w:val="0"/>
              <w:spacing w:before="0" w:after="283"/>
              <w:jc w:val="left"/>
              <w:rPr>
                <w:sz w:val="4"/>
                <w:szCs w:val="4"/>
              </w:rPr>
            </w:pPr>
            <w:r>
              <w:rPr>
                <w:sz w:val="4"/>
                <w:szCs w:val="4"/>
              </w:rPr>
            </w:r>
          </w:p>
        </w:tc>
        <w:tc>
          <w:tcPr>
            <w:tcW w:w="4561" w:type="dxa"/>
            <w:gridSpan w:val="3"/>
            <w:tcBorders>
              <w:left w:val="single" w:sz="2" w:space="0" w:color="231F20"/>
            </w:tcBorders>
            <w:tcMar>
              <w:top w:w="0" w:type="dxa"/>
              <w:bottom w:w="0" w:type="dxa"/>
              <w:right w:w="0" w:type="dxa"/>
            </w:tcMar>
            <w:vAlign w:val="center"/>
          </w:tcPr>
          <w:p>
            <w:pPr>
              <w:pStyle w:val="TableContents"/>
              <w:bidi w:val="0"/>
              <w:spacing w:lineRule="atLeast" w:line="199" w:before="102" w:after="283"/>
              <w:jc w:val="left"/>
              <w:rPr/>
            </w:pPr>
            <w:r>
              <w:rPr>
                <w:rFonts w:ascii="Times New Roman;serif" w:hAnsi="Times New Roman;serif"/>
                <w:b w:val="false"/>
                <w:color w:val="231F20"/>
                <w:sz w:val="16"/>
              </w:rPr>
              <w:t>Additional investment to FS Account #</w:t>
            </w:r>
            <w:r>
              <w:rPr>
                <w:color w:val="231F20"/>
                <w:u w:val="single"/>
              </w:rPr>
              <w:t>    </w:t>
            </w:r>
          </w:p>
        </w:tc>
      </w:tr>
      <w:tr>
        <w:trPr/>
        <w:tc>
          <w:tcPr>
            <w:tcW w:w="8231" w:type="dxa"/>
            <w:gridSpan w:val="9"/>
            <w:tcBorders/>
            <w:tcMar>
              <w:top w:w="0" w:type="dxa"/>
              <w:left w:w="0" w:type="dxa"/>
              <w:bottom w:w="0" w:type="dxa"/>
              <w:right w:w="0" w:type="dxa"/>
            </w:tcMar>
            <w:vAlign w:val="center"/>
          </w:tcPr>
          <w:p>
            <w:pPr>
              <w:pStyle w:val="TableContents"/>
              <w:bidi w:val="0"/>
              <w:spacing w:lineRule="auto" w:line="288" w:before="113" w:after="283"/>
              <w:jc w:val="left"/>
              <w:rPr>
                <w:rFonts w:ascii="Times New Roman;serif" w:hAnsi="Times New Roman;serif"/>
                <w:b w:val="false"/>
                <w:color w:val="231F20"/>
                <w:sz w:val="16"/>
              </w:rPr>
            </w:pPr>
            <w:r>
              <w:rPr>
                <w:rFonts w:ascii="Times New Roman;serif" w:hAnsi="Times New Roman;serif"/>
                <w:b w:val="false"/>
                <w:color w:val="231F20"/>
                <w:sz w:val="16"/>
              </w:rPr>
              <w:t>$5,000 minimum initial investment for Classes D, M, S and T, and $1 million minimum initial investment for Class I</w:t>
            </w:r>
          </w:p>
          <w:p>
            <w:pPr>
              <w:pStyle w:val="TableContents"/>
              <w:bidi w:val="0"/>
              <w:spacing w:lineRule="atLeast" w:line="165" w:before="16" w:after="283"/>
              <w:jc w:val="left"/>
              <w:rPr>
                <w:rFonts w:ascii="Times New Roman;serif" w:hAnsi="Times New Roman;serif"/>
                <w:b w:val="false"/>
                <w:color w:val="231F20"/>
                <w:sz w:val="16"/>
              </w:rPr>
            </w:pPr>
            <w:r>
              <w:rPr>
                <w:rFonts w:ascii="Times New Roman;serif" w:hAnsi="Times New Roman;serif"/>
                <w:b w:val="false"/>
                <w:color w:val="231F20"/>
                <w:sz w:val="16"/>
              </w:rPr>
              <w:t>$500 minimum additional investment</w:t>
            </w:r>
          </w:p>
        </w:tc>
      </w:tr>
    </w:tbl>
    <w:p>
      <w:pPr>
        <w:pStyle w:val="TextBody"/>
        <w:bidi w:val="0"/>
        <w:spacing w:before="0" w:after="0"/>
        <w:jc w:val="left"/>
        <w:rPr/>
      </w:pPr>
      <w:r>
        <w:rPr/>
      </w:r>
    </w:p>
    <w:tbl>
      <w:tblPr>
        <w:tblW w:w="8715" w:type="dxa"/>
        <w:jc w:val="left"/>
        <w:tblInd w:w="0" w:type="dxa"/>
        <w:tblLayout w:type="fixed"/>
        <w:tblCellMar>
          <w:top w:w="28" w:type="dxa"/>
          <w:left w:w="28" w:type="dxa"/>
          <w:bottom w:w="28" w:type="dxa"/>
          <w:right w:w="28" w:type="dxa"/>
        </w:tblCellMar>
      </w:tblPr>
      <w:tblGrid>
        <w:gridCol w:w="2787"/>
        <w:gridCol w:w="2447"/>
        <w:gridCol w:w="3481"/>
      </w:tblGrid>
      <w:tr>
        <w:trPr/>
        <w:tc>
          <w:tcPr>
            <w:tcW w:w="278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shd w:fill="231F20" w:val="clear"/>
            <w:tcMar>
              <w:top w:w="0" w:type="dxa"/>
              <w:left w:w="0" w:type="dxa"/>
              <w:bottom w:w="0" w:type="dxa"/>
              <w:right w:w="0" w:type="dxa"/>
            </w:tcMar>
            <w:vAlign w:val="center"/>
          </w:tcPr>
          <w:p>
            <w:pPr>
              <w:pStyle w:val="TableContents"/>
              <w:bidi w:val="0"/>
              <w:spacing w:lineRule="atLeast" w:line="333" w:before="5" w:after="283"/>
              <w:jc w:val="left"/>
              <w:rPr/>
            </w:pPr>
            <w:r>
              <w:rPr>
                <w:color w:val="FFFFFF"/>
              </w:rPr>
              <w:t> </w:t>
            </w:r>
            <w:r>
              <w:rPr>
                <w:rFonts w:ascii="Times New Roman;serif" w:hAnsi="Times New Roman;serif"/>
                <w:b w:val="false"/>
                <w:color w:val="FFFFFF"/>
                <w:sz w:val="22"/>
                <w:shd w:fill="231F20" w:val="clear"/>
              </w:rPr>
              <w:t>2</w:t>
            </w:r>
            <w:r>
              <w:rPr>
                <w:color w:val="FFFFFF"/>
              </w:rPr>
              <w:t xml:space="preserve"> </w:t>
            </w:r>
            <w:r>
              <w:rPr>
                <w:rFonts w:ascii="Times New Roman;serif" w:hAnsi="Times New Roman;serif"/>
                <w:b w:val="false"/>
                <w:color w:val="FFFFFF"/>
                <w:sz w:val="22"/>
                <w:shd w:fill="231F20" w:val="clear"/>
              </w:rPr>
              <w:t>Share</w:t>
            </w:r>
            <w:r>
              <w:rPr>
                <w:color w:val="FFFFFF"/>
              </w:rPr>
              <w:t xml:space="preserve"> </w:t>
            </w:r>
            <w:r>
              <w:rPr>
                <w:rFonts w:ascii="Times New Roman;serif" w:hAnsi="Times New Roman;serif"/>
                <w:b w:val="false"/>
                <w:color w:val="FFFFFF"/>
                <w:sz w:val="22"/>
                <w:shd w:fill="231F20" w:val="clear"/>
              </w:rPr>
              <w:t>class</w:t>
            </w:r>
            <w:r>
              <w:rPr>
                <w:color w:val="FFFFFF"/>
              </w:rPr>
              <w:t xml:space="preserve"> </w:t>
            </w:r>
            <w:r>
              <w:rPr>
                <w:rFonts w:ascii="Times New Roman;serif" w:hAnsi="Times New Roman;serif"/>
                <w:b w:val="false"/>
                <w:color w:val="FFFFFF"/>
                <w:sz w:val="18"/>
                <w:shd w:fill="231F20" w:val="clear"/>
              </w:rPr>
              <w:t>Select</w:t>
            </w:r>
            <w:r>
              <w:rPr>
                <w:color w:val="FFFFFF"/>
              </w:rPr>
              <w:t xml:space="preserve"> </w:t>
            </w:r>
            <w:r>
              <w:rPr>
                <w:rFonts w:ascii="Times New Roman;serif" w:hAnsi="Times New Roman;serif"/>
                <w:b w:val="false"/>
                <w:color w:val="FFFFFF"/>
                <w:sz w:val="18"/>
                <w:shd w:fill="231F20" w:val="clear"/>
              </w:rPr>
              <w:t>only</w:t>
            </w:r>
            <w:r>
              <w:rPr>
                <w:color w:val="FFFFFF"/>
              </w:rPr>
              <w:t xml:space="preserve"> </w:t>
            </w:r>
            <w:r>
              <w:rPr>
                <w:rFonts w:ascii="Times New Roman;serif" w:hAnsi="Times New Roman;serif"/>
                <w:b w:val="false"/>
                <w:color w:val="FFFFFF"/>
                <w:sz w:val="18"/>
                <w:shd w:fill="231F20" w:val="clear"/>
              </w:rPr>
              <w:t>one</w:t>
            </w:r>
            <w:r>
              <w:rPr>
                <w:color w:val="FFFFFF"/>
              </w:rPr>
              <w:t>    </w:t>
            </w:r>
          </w:p>
        </w:tc>
      </w:tr>
      <w:tr>
        <w:trPr/>
        <w:tc>
          <w:tcPr>
            <w:tcW w:w="8715" w:type="dxa"/>
            <w:gridSpan w:val="3"/>
            <w:tcBorders/>
            <w:tcMar>
              <w:top w:w="0" w:type="dxa"/>
              <w:left w:w="0" w:type="dxa"/>
              <w:bottom w:w="0" w:type="dxa"/>
              <w:right w:w="0" w:type="dxa"/>
            </w:tcMar>
            <w:vAlign w:val="center"/>
          </w:tcPr>
          <w:p>
            <w:pPr>
              <w:pStyle w:val="TableContents"/>
              <w:bidi w:val="0"/>
              <w:spacing w:lineRule="atLeast" w:line="218" w:before="66" w:after="283"/>
              <w:jc w:val="left"/>
              <w:rPr>
                <w:rFonts w:ascii="Times New Roman;serif" w:hAnsi="Times New Roman;serif"/>
                <w:b w:val="false"/>
                <w:color w:val="231F20"/>
                <w:sz w:val="17"/>
              </w:rPr>
            </w:pPr>
            <w:r>
              <w:rPr>
                <w:rFonts w:ascii="Times New Roman;serif" w:hAnsi="Times New Roman;serif"/>
                <w:b w:val="false"/>
                <w:color w:val="231F20"/>
                <w:sz w:val="17"/>
              </w:rPr>
              <w:t>BROKERAGE</w:t>
            </w:r>
          </w:p>
        </w:tc>
      </w:tr>
      <w:tr>
        <w:trPr/>
        <w:tc>
          <w:tcPr>
            <w:tcW w:w="8715" w:type="dxa"/>
            <w:gridSpan w:val="3"/>
            <w:tcBorders/>
            <w:tcMar>
              <w:top w:w="0" w:type="dxa"/>
              <w:left w:w="0" w:type="dxa"/>
              <w:bottom w:w="0" w:type="dxa"/>
              <w:right w:w="0" w:type="dxa"/>
            </w:tcMar>
            <w:vAlign w:val="center"/>
          </w:tcPr>
          <w:p>
            <w:pPr>
              <w:pStyle w:val="TableContents"/>
              <w:bidi w:val="0"/>
              <w:spacing w:lineRule="atLeast" w:line="253" w:before="18" w:after="283"/>
              <w:jc w:val="left"/>
              <w:rPr/>
            </w:pPr>
            <w:r>
              <w:rPr>
                <w:rFonts w:ascii="Times New Roman;serif" w:hAnsi="Times New Roman;serif"/>
                <w:b w:val="false"/>
                <w:color w:val="231F20"/>
                <w:sz w:val="17"/>
              </w:rPr>
              <w:t>Class D Shares (Fund 4041)    </w:t>
            </w:r>
            <w:r>
              <w:rPr>
                <w:color w:val="231F20"/>
              </w:rPr>
              <w:t xml:space="preserve"> </w:t>
            </w:r>
            <w:r>
              <w:rPr>
                <w:rFonts w:ascii="Times New Roman;serif" w:hAnsi="Times New Roman;serif"/>
                <w:b w:val="false"/>
                <w:color w:val="231F20"/>
                <w:sz w:val="16"/>
              </w:rPr>
              <w:t>NAV</w:t>
            </w:r>
          </w:p>
          <w:p>
            <w:pPr>
              <w:pStyle w:val="TableContents"/>
              <w:bidi w:val="0"/>
              <w:spacing w:lineRule="atLeast" w:line="245" w:before="0" w:after="0"/>
              <w:jc w:val="left"/>
              <w:rPr/>
            </w:pPr>
            <w:r>
              <w:rPr>
                <w:rFonts w:ascii="Times New Roman;serif" w:hAnsi="Times New Roman;serif"/>
                <w:b w:val="false"/>
                <w:color w:val="231F20"/>
                <w:sz w:val="17"/>
              </w:rPr>
              <w:t>Class S Shares (Fund 4049)    </w:t>
            </w:r>
            <w:r>
              <w:rPr>
                <w:color w:val="231F20"/>
              </w:rPr>
              <w:t xml:space="preserve"> </w:t>
            </w:r>
            <w:r>
              <w:rPr>
                <w:rFonts w:ascii="Times New Roman;serif" w:hAnsi="Times New Roman;serif"/>
                <w:b w:val="false"/>
                <w:color w:val="231F20"/>
                <w:sz w:val="16"/>
              </w:rPr>
              <w:t>Public offering price    </w:t>
            </w:r>
            <w:r>
              <w:rPr>
                <w:color w:val="231F20"/>
              </w:rPr>
              <w:t xml:space="preserve"> </w:t>
            </w:r>
            <w:r>
              <w:rPr>
                <w:rFonts w:ascii="Times New Roman;serif" w:hAnsi="Times New Roman;serif"/>
                <w:b w:val="false"/>
                <w:color w:val="231F20"/>
                <w:sz w:val="16"/>
              </w:rPr>
              <w:t>Net of upfront sales charges (stockholder servicing fees still apply)*</w:t>
            </w:r>
          </w:p>
          <w:p>
            <w:pPr>
              <w:pStyle w:val="TableContents"/>
              <w:bidi w:val="0"/>
              <w:spacing w:lineRule="atLeast" w:line="245" w:before="0" w:after="0"/>
              <w:jc w:val="left"/>
              <w:rPr/>
            </w:pPr>
            <w:r>
              <w:rPr>
                <w:rFonts w:ascii="Times New Roman;serif" w:hAnsi="Times New Roman;serif"/>
                <w:b w:val="false"/>
                <w:color w:val="231F20"/>
                <w:sz w:val="17"/>
              </w:rPr>
              <w:t>Class T Shares (Fund 4040)    </w:t>
            </w:r>
            <w:r>
              <w:rPr>
                <w:color w:val="231F20"/>
              </w:rPr>
              <w:t xml:space="preserve"> </w:t>
            </w:r>
            <w:r>
              <w:rPr>
                <w:rFonts w:ascii="Times New Roman;serif" w:hAnsi="Times New Roman;serif"/>
                <w:b w:val="false"/>
                <w:color w:val="231F20"/>
                <w:sz w:val="16"/>
              </w:rPr>
              <w:t>Public offering price    </w:t>
            </w:r>
            <w:r>
              <w:rPr>
                <w:color w:val="231F20"/>
              </w:rPr>
              <w:t xml:space="preserve"> </w:t>
            </w:r>
            <w:r>
              <w:rPr>
                <w:rFonts w:ascii="Times New Roman;serif" w:hAnsi="Times New Roman;serif"/>
                <w:b w:val="false"/>
                <w:color w:val="231F20"/>
                <w:sz w:val="16"/>
              </w:rPr>
              <w:t>Net of upfront sales charges (stockholder servicing fees still apply)*</w:t>
            </w:r>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56" w:after="283"/>
              <w:jc w:val="left"/>
              <w:rPr>
                <w:rFonts w:ascii="Times New Roman;serif" w:hAnsi="Times New Roman;serif"/>
                <w:b w:val="false"/>
                <w:color w:val="231F20"/>
                <w:sz w:val="12"/>
              </w:rPr>
            </w:pPr>
            <w:r>
              <w:rPr>
                <w:rFonts w:ascii="Times New Roman;serif" w:hAnsi="Times New Roman;serif"/>
                <w:b w:val="false"/>
                <w:color w:val="231F20"/>
                <w:sz w:val="12"/>
              </w:rPr>
              <w:t>*By a registered representative on his or her own behalf. Subject to all other fees and expenses of Class S or T Shares. Please see the Prospectus for additional information.</w:t>
            </w:r>
          </w:p>
        </w:tc>
      </w:tr>
      <w:tr>
        <w:trPr/>
        <w:tc>
          <w:tcPr>
            <w:tcW w:w="8715" w:type="dxa"/>
            <w:gridSpan w:val="3"/>
            <w:tcBorders/>
            <w:tcMar>
              <w:top w:w="0" w:type="dxa"/>
              <w:left w:w="0" w:type="dxa"/>
              <w:bottom w:w="0" w:type="dxa"/>
              <w:right w:w="0" w:type="dxa"/>
            </w:tcMar>
            <w:vAlign w:val="center"/>
          </w:tcPr>
          <w:p>
            <w:pPr>
              <w:pStyle w:val="TableContents"/>
              <w:bidi w:val="0"/>
              <w:spacing w:lineRule="atLeast" w:line="218" w:before="65" w:after="283"/>
              <w:jc w:val="left"/>
              <w:rPr>
                <w:rFonts w:ascii="Times New Roman;serif" w:hAnsi="Times New Roman;serif"/>
                <w:b w:val="false"/>
                <w:color w:val="231F20"/>
                <w:sz w:val="17"/>
              </w:rPr>
            </w:pPr>
            <w:r>
              <w:rPr>
                <w:rFonts w:ascii="Times New Roman;serif" w:hAnsi="Times New Roman;serif"/>
                <w:b w:val="false"/>
                <w:color w:val="231F20"/>
                <w:sz w:val="17"/>
              </w:rPr>
              <w:t>INSTITUTIONAL</w:t>
            </w:r>
          </w:p>
        </w:tc>
      </w:tr>
      <w:tr>
        <w:trPr/>
        <w:tc>
          <w:tcPr>
            <w:tcW w:w="8715" w:type="dxa"/>
            <w:gridSpan w:val="3"/>
            <w:tcBorders/>
            <w:tcMar>
              <w:top w:w="0" w:type="dxa"/>
              <w:left w:w="0" w:type="dxa"/>
              <w:bottom w:w="0" w:type="dxa"/>
              <w:right w:w="0" w:type="dxa"/>
            </w:tcMar>
            <w:vAlign w:val="center"/>
          </w:tcPr>
          <w:p>
            <w:pPr>
              <w:pStyle w:val="TableContents"/>
              <w:bidi w:val="0"/>
              <w:spacing w:lineRule="atLeast" w:line="253" w:before="18" w:after="283"/>
              <w:jc w:val="left"/>
              <w:rPr/>
            </w:pPr>
            <w:r>
              <w:rPr>
                <w:rFonts w:ascii="Times New Roman;serif" w:hAnsi="Times New Roman;serif"/>
                <w:b w:val="false"/>
                <w:color w:val="231F20"/>
                <w:sz w:val="17"/>
              </w:rPr>
              <w:t>Class I Shares (Fund 4045)    </w:t>
            </w:r>
            <w:r>
              <w:rPr>
                <w:color w:val="231F20"/>
              </w:rPr>
              <w:t xml:space="preserve"> </w:t>
            </w:r>
            <w:r>
              <w:rPr>
                <w:rFonts w:ascii="Times New Roman;serif" w:hAnsi="Times New Roman;serif"/>
                <w:b w:val="false"/>
                <w:color w:val="231F20"/>
                <w:sz w:val="16"/>
              </w:rPr>
              <w:t>NAV</w:t>
            </w:r>
          </w:p>
          <w:p>
            <w:pPr>
              <w:pStyle w:val="TableContents"/>
              <w:bidi w:val="0"/>
              <w:spacing w:lineRule="atLeast" w:line="197" w:before="0" w:after="0"/>
              <w:jc w:val="left"/>
              <w:rPr/>
            </w:pPr>
            <w:r>
              <w:rPr>
                <w:rFonts w:ascii="Times New Roman;serif" w:hAnsi="Times New Roman;serif"/>
                <w:b w:val="false"/>
                <w:color w:val="231F20"/>
                <w:sz w:val="17"/>
              </w:rPr>
              <w:t>Class M Shares (Fund 4043)    </w:t>
            </w:r>
            <w:r>
              <w:rPr>
                <w:color w:val="231F20"/>
              </w:rPr>
              <w:t xml:space="preserve"> </w:t>
            </w:r>
            <w:r>
              <w:rPr>
                <w:rFonts w:ascii="Times New Roman;serif" w:hAnsi="Times New Roman;serif"/>
                <w:b w:val="false"/>
                <w:color w:val="231F20"/>
                <w:sz w:val="16"/>
              </w:rPr>
              <w:t>NAV</w:t>
            </w:r>
          </w:p>
        </w:tc>
      </w:tr>
    </w:tbl>
    <w:p>
      <w:pPr>
        <w:pStyle w:val="TextBody"/>
        <w:bidi w:val="0"/>
        <w:spacing w:before="118" w:after="283"/>
        <w:jc w:val="left"/>
        <w:rPr/>
      </w:pPr>
      <w:r>
        <w:rPr/>
      </w:r>
    </w:p>
    <w:tbl>
      <w:tblPr>
        <w:tblW w:w="10205" w:type="dxa"/>
        <w:jc w:val="left"/>
        <w:tblInd w:w="0" w:type="dxa"/>
        <w:tblLayout w:type="fixed"/>
        <w:tblCellMar>
          <w:top w:w="28" w:type="dxa"/>
          <w:left w:w="28" w:type="dxa"/>
          <w:bottom w:w="28" w:type="dxa"/>
          <w:right w:w="28" w:type="dxa"/>
        </w:tblCellMar>
      </w:tblPr>
      <w:tblGrid>
        <w:gridCol w:w="1378"/>
        <w:gridCol w:w="1211"/>
        <w:gridCol w:w="1217"/>
        <w:gridCol w:w="1152"/>
        <w:gridCol w:w="1005"/>
        <w:gridCol w:w="993"/>
        <w:gridCol w:w="950"/>
        <w:gridCol w:w="950"/>
        <w:gridCol w:w="1349"/>
      </w:tblGrid>
      <w:tr>
        <w:trPr/>
        <w:tc>
          <w:tcPr>
            <w:tcW w:w="137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806" w:type="dxa"/>
            <w:gridSpan w:val="3"/>
            <w:tcBorders/>
            <w:shd w:fill="231F20" w:val="clear"/>
            <w:tcMar>
              <w:top w:w="0" w:type="dxa"/>
              <w:left w:w="0" w:type="dxa"/>
              <w:bottom w:w="0" w:type="dxa"/>
              <w:right w:w="0" w:type="dxa"/>
            </w:tcMar>
            <w:vAlign w:val="center"/>
          </w:tcPr>
          <w:p>
            <w:pPr>
              <w:pStyle w:val="TableContents"/>
              <w:bidi w:val="0"/>
              <w:spacing w:lineRule="auto" w:line="288" w:before="5" w:after="283"/>
              <w:jc w:val="left"/>
              <w:rPr/>
            </w:pPr>
            <w:r>
              <w:rPr>
                <w:color w:val="FFFFFF"/>
              </w:rPr>
              <w:t> </w:t>
            </w:r>
            <w:r>
              <w:rPr>
                <w:rFonts w:ascii="Times New Roman;serif" w:hAnsi="Times New Roman;serif"/>
                <w:b w:val="false"/>
                <w:color w:val="FFFFFF"/>
                <w:sz w:val="22"/>
                <w:shd w:fill="231F20" w:val="clear"/>
              </w:rPr>
              <w:t>3</w:t>
            </w:r>
            <w:r>
              <w:rPr>
                <w:color w:val="FFFFFF"/>
              </w:rPr>
              <w:t xml:space="preserve"> </w:t>
            </w:r>
            <w:r>
              <w:rPr>
                <w:rFonts w:ascii="Times New Roman;serif" w:hAnsi="Times New Roman;serif"/>
                <w:b w:val="false"/>
                <w:color w:val="FFFFFF"/>
                <w:sz w:val="22"/>
                <w:shd w:fill="231F20" w:val="clear"/>
              </w:rPr>
              <w:t>Ownership</w:t>
            </w:r>
            <w:r>
              <w:rPr>
                <w:color w:val="FFFFFF"/>
              </w:rPr>
              <w:t xml:space="preserve"> </w:t>
            </w:r>
            <w:r>
              <w:rPr>
                <w:rFonts w:ascii="Times New Roman;serif" w:hAnsi="Times New Roman;serif"/>
                <w:b w:val="false"/>
                <w:color w:val="FFFFFF"/>
                <w:sz w:val="18"/>
                <w:shd w:fill="231F20" w:val="clear"/>
              </w:rPr>
              <w:t>Select</w:t>
            </w:r>
            <w:r>
              <w:rPr>
                <w:color w:val="FFFFFF"/>
              </w:rPr>
              <w:t xml:space="preserve"> </w:t>
            </w:r>
            <w:r>
              <w:rPr>
                <w:rFonts w:ascii="Times New Roman;serif" w:hAnsi="Times New Roman;serif"/>
                <w:b w:val="false"/>
                <w:color w:val="FFFFFF"/>
                <w:sz w:val="18"/>
                <w:shd w:fill="231F20" w:val="clear"/>
              </w:rPr>
              <w:t>only</w:t>
            </w:r>
            <w:r>
              <w:rPr>
                <w:color w:val="FFFFFF"/>
              </w:rPr>
              <w:t xml:space="preserve"> </w:t>
            </w:r>
            <w:r>
              <w:rPr>
                <w:rFonts w:ascii="Times New Roman;serif" w:hAnsi="Times New Roman;serif"/>
                <w:b w:val="false"/>
                <w:color w:val="FFFFFF"/>
                <w:sz w:val="18"/>
                <w:shd w:fill="231F20" w:val="clear"/>
              </w:rPr>
              <w:t>one</w:t>
            </w:r>
            <w:r>
              <w:rPr>
                <w:color w:val="FFFFFF"/>
              </w:rPr>
              <w:t>    </w:t>
            </w:r>
          </w:p>
        </w:tc>
        <w:tc>
          <w:tcPr>
            <w:tcW w:w="3150"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tcMar>
              <w:top w:w="0" w:type="dxa"/>
              <w:left w:w="0" w:type="dxa"/>
              <w:bottom w:w="0" w:type="dxa"/>
              <w:right w:w="0" w:type="dxa"/>
            </w:tcMar>
            <w:vAlign w:val="center"/>
          </w:tcPr>
          <w:p>
            <w:pPr>
              <w:pStyle w:val="TableContents"/>
              <w:bidi w:val="0"/>
              <w:spacing w:lineRule="auto" w:line="288" w:before="91" w:after="283"/>
              <w:jc w:val="left"/>
              <w:rPr>
                <w:rFonts w:ascii="Times New Roman;serif" w:hAnsi="Times New Roman;serif"/>
                <w:b w:val="false"/>
                <w:color w:val="231F20"/>
                <w:sz w:val="12"/>
              </w:rPr>
            </w:pPr>
            <w:r>
              <w:rPr>
                <w:rFonts w:ascii="Times New Roman;serif" w:hAnsi="Times New Roman;serif"/>
                <w:b w:val="false"/>
                <w:color w:val="231F20"/>
                <w:sz w:val="12"/>
              </w:rPr>
              <w:t>Please complete part A of section 5.</w:t>
            </w:r>
          </w:p>
        </w:tc>
        <w:tc>
          <w:tcPr>
            <w:tcW w:w="3150" w:type="dxa"/>
            <w:gridSpan w:val="3"/>
            <w:tcBorders/>
            <w:tcMar>
              <w:top w:w="0" w:type="dxa"/>
              <w:left w:w="0" w:type="dxa"/>
              <w:bottom w:w="0" w:type="dxa"/>
              <w:right w:w="0" w:type="dxa"/>
            </w:tcMar>
            <w:vAlign w:val="center"/>
          </w:tcPr>
          <w:p>
            <w:pPr>
              <w:pStyle w:val="TableContents"/>
              <w:bidi w:val="0"/>
              <w:spacing w:lineRule="auto" w:line="288" w:before="91" w:after="283"/>
              <w:jc w:val="left"/>
              <w:rPr>
                <w:rFonts w:ascii="Times New Roman;serif" w:hAnsi="Times New Roman;serif"/>
                <w:b w:val="false"/>
                <w:color w:val="231F20"/>
                <w:sz w:val="12"/>
              </w:rPr>
            </w:pPr>
            <w:r>
              <w:rPr>
                <w:rFonts w:ascii="Times New Roman;serif" w:hAnsi="Times New Roman;serif"/>
                <w:b w:val="false"/>
                <w:color w:val="231F20"/>
                <w:sz w:val="12"/>
              </w:rPr>
              <w:t>Please complete part A of section 5.</w:t>
            </w:r>
          </w:p>
        </w:tc>
        <w:tc>
          <w:tcPr>
            <w:tcW w:w="3249" w:type="dxa"/>
            <w:gridSpan w:val="3"/>
            <w:tcBorders/>
            <w:tcMar>
              <w:top w:w="0" w:type="dxa"/>
              <w:left w:w="0" w:type="dxa"/>
              <w:bottom w:w="0" w:type="dxa"/>
              <w:right w:w="0" w:type="dxa"/>
            </w:tcMar>
            <w:vAlign w:val="center"/>
          </w:tcPr>
          <w:p>
            <w:pPr>
              <w:pStyle w:val="TableContents"/>
              <w:bidi w:val="0"/>
              <w:spacing w:lineRule="auto" w:line="288" w:before="91" w:after="283"/>
              <w:jc w:val="left"/>
              <w:rPr>
                <w:rFonts w:ascii="Times New Roman;serif" w:hAnsi="Times New Roman;serif"/>
                <w:b w:val="false"/>
                <w:color w:val="231F20"/>
                <w:sz w:val="12"/>
              </w:rPr>
            </w:pPr>
            <w:r>
              <w:rPr>
                <w:rFonts w:ascii="Times New Roman;serif" w:hAnsi="Times New Roman;serif"/>
                <w:b w:val="false"/>
                <w:color w:val="231F20"/>
                <w:sz w:val="12"/>
              </w:rPr>
              <w:t>Please complete part B of section 5.</w:t>
            </w:r>
          </w:p>
        </w:tc>
      </w:tr>
      <w:tr>
        <w:trPr/>
        <w:tc>
          <w:tcPr>
            <w:tcW w:w="3806" w:type="dxa"/>
            <w:gridSpan w:val="3"/>
            <w:tcBorders/>
            <w:tcMar>
              <w:top w:w="0" w:type="dxa"/>
              <w:left w:w="0" w:type="dxa"/>
              <w:bottom w:w="0" w:type="dxa"/>
              <w:right w:w="0" w:type="dxa"/>
            </w:tcMar>
            <w:vAlign w:val="center"/>
          </w:tcPr>
          <w:p>
            <w:pPr>
              <w:pStyle w:val="TableContents"/>
              <w:bidi w:val="0"/>
              <w:spacing w:lineRule="atLeast" w:line="216" w:before="27" w:after="283"/>
              <w:jc w:val="left"/>
              <w:rPr>
                <w:rFonts w:ascii="Times New Roman;serif" w:hAnsi="Times New Roman;serif"/>
                <w:b/>
                <w:color w:val="231F20"/>
                <w:sz w:val="17"/>
              </w:rPr>
            </w:pPr>
            <w:r>
              <w:rPr>
                <w:rFonts w:ascii="Times New Roman;serif" w:hAnsi="Times New Roman;serif"/>
                <w:b/>
                <w:color w:val="231F20"/>
                <w:sz w:val="17"/>
              </w:rPr>
              <w:t>INDIVIDUAL</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tcMar>
              <w:top w:w="0" w:type="dxa"/>
              <w:left w:w="0" w:type="dxa"/>
              <w:bottom w:w="0" w:type="dxa"/>
              <w:right w:w="0" w:type="dxa"/>
            </w:tcMar>
            <w:vAlign w:val="center"/>
          </w:tcPr>
          <w:p>
            <w:pPr>
              <w:pStyle w:val="TableContents"/>
              <w:bidi w:val="0"/>
              <w:spacing w:lineRule="auto" w:line="288" w:before="16" w:after="283"/>
              <w:jc w:val="left"/>
              <w:rPr>
                <w:rFonts w:ascii="Times New Roman;serif" w:hAnsi="Times New Roman;serif"/>
                <w:b/>
                <w:color w:val="231F20"/>
                <w:sz w:val="17"/>
              </w:rPr>
            </w:pPr>
            <w:r>
              <w:rPr>
                <w:rFonts w:ascii="Times New Roman;serif" w:hAnsi="Times New Roman;serif"/>
                <w:b/>
                <w:color w:val="231F20"/>
                <w:sz w:val="17"/>
              </w:rPr>
              <w:t>SINGLE OWNER</w:t>
            </w:r>
          </w:p>
          <w:p>
            <w:pPr>
              <w:pStyle w:val="TableContents"/>
              <w:bidi w:val="0"/>
              <w:spacing w:lineRule="auto" w:line="288" w:before="55" w:after="283"/>
              <w:ind w:left="0" w:right="0" w:hanging="220"/>
              <w:jc w:val="left"/>
              <w:rPr>
                <w:rFonts w:ascii="Times New Roman;serif" w:hAnsi="Times New Roman;serif"/>
                <w:b w:val="false"/>
                <w:color w:val="231F20"/>
                <w:sz w:val="17"/>
              </w:rPr>
            </w:pPr>
            <w:r>
              <w:rPr>
                <w:rFonts w:ascii="Times New Roman;serif" w:hAnsi="Times New Roman;serif"/>
                <w:b w:val="false"/>
                <w:color w:val="231F20"/>
                <w:sz w:val="17"/>
              </w:rPr>
              <w:t>Individual*</w:t>
            </w:r>
          </w:p>
          <w:p>
            <w:pPr>
              <w:pStyle w:val="TableContents"/>
              <w:bidi w:val="0"/>
              <w:spacing w:lineRule="atLeast" w:line="259" w:before="151" w:after="283"/>
              <w:jc w:val="left"/>
              <w:rPr>
                <w:rFonts w:ascii="Times New Roman;serif" w:hAnsi="Times New Roman;serif"/>
                <w:b/>
                <w:color w:val="231F20"/>
                <w:sz w:val="17"/>
              </w:rPr>
            </w:pPr>
            <w:r>
              <w:rPr>
                <w:rFonts w:ascii="Times New Roman;serif" w:hAnsi="Times New Roman;serif"/>
                <w:b/>
                <w:color w:val="231F20"/>
                <w:sz w:val="17"/>
              </w:rPr>
              <w:t>MULTIPLE OWNERS</w:t>
            </w:r>
          </w:p>
          <w:p>
            <w:pPr>
              <w:pStyle w:val="TableContents"/>
              <w:bidi w:val="0"/>
              <w:spacing w:lineRule="atLeast" w:line="220" w:before="0" w:after="0"/>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Community property</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Tenants in common</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Joint tenants with rights of survivorship*</w:t>
            </w:r>
          </w:p>
          <w:p>
            <w:pPr>
              <w:pStyle w:val="TableContents"/>
              <w:bidi w:val="0"/>
              <w:spacing w:lineRule="atLeast" w:line="259" w:before="152" w:after="283"/>
              <w:jc w:val="left"/>
              <w:rPr>
                <w:rFonts w:ascii="Times New Roman;serif" w:hAnsi="Times New Roman;serif"/>
                <w:b/>
                <w:color w:val="231F20"/>
                <w:sz w:val="17"/>
              </w:rPr>
            </w:pPr>
            <w:r>
              <w:rPr>
                <w:rFonts w:ascii="Times New Roman;serif" w:hAnsi="Times New Roman;serif"/>
                <w:b/>
                <w:color w:val="231F20"/>
                <w:sz w:val="17"/>
              </w:rPr>
              <w:t>MINOR ACCOUNT</w:t>
            </w:r>
          </w:p>
          <w:p>
            <w:pPr>
              <w:pStyle w:val="TableContents"/>
              <w:bidi w:val="0"/>
              <w:spacing w:lineRule="atLeast" w:line="220" w:before="0" w:after="0"/>
              <w:ind w:left="0" w:right="0" w:hanging="220"/>
              <w:jc w:val="left"/>
              <w:rPr/>
            </w:pPr>
            <w:r>
              <w:rPr>
                <w:rFonts w:ascii="Times New Roman;serif" w:hAnsi="Times New Roman;serif"/>
                <w:b w:val="false"/>
                <w:color w:val="231F20"/>
                <w:sz w:val="16"/>
              </w:rPr>
              <w:t xml:space="preserve">UGMA: State of </w:t>
            </w:r>
            <w:r>
              <w:rPr>
                <w:color w:val="231F20"/>
                <w:u w:val="single"/>
              </w:rPr>
              <w:t>    </w:t>
            </w:r>
          </w:p>
          <w:p>
            <w:pPr>
              <w:pStyle w:val="TableContents"/>
              <w:bidi w:val="0"/>
              <w:spacing w:lineRule="auto" w:line="288" w:before="18" w:after="283"/>
              <w:ind w:left="0" w:right="0" w:hanging="220"/>
              <w:jc w:val="left"/>
              <w:rPr/>
            </w:pPr>
            <w:r>
              <w:rPr>
                <w:rFonts w:ascii="Times New Roman;serif" w:hAnsi="Times New Roman;serif"/>
                <w:b w:val="false"/>
                <w:color w:val="231F20"/>
                <w:sz w:val="16"/>
              </w:rPr>
              <w:t xml:space="preserve">UTMA: State of </w:t>
            </w:r>
            <w:r>
              <w:rPr>
                <w:color w:val="231F20"/>
                <w:u w:val="single"/>
              </w:rPr>
              <w:t>    </w:t>
            </w:r>
          </w:p>
          <w:p>
            <w:pPr>
              <w:pStyle w:val="TableContents"/>
              <w:bidi w:val="0"/>
              <w:spacing w:lineRule="auto" w:line="288" w:before="18" w:after="283"/>
              <w:ind w:left="0" w:right="0" w:hanging="220"/>
              <w:jc w:val="left"/>
              <w:rPr/>
            </w:pPr>
            <w:r>
              <w:rPr>
                <w:rFonts w:ascii="Times New Roman;serif" w:hAnsi="Times New Roman;serif"/>
                <w:b w:val="false"/>
                <w:color w:val="231F20"/>
                <w:sz w:val="16"/>
              </w:rPr>
              <w:t xml:space="preserve">Other </w:t>
            </w:r>
            <w:r>
              <w:rPr>
                <w:color w:val="231F20"/>
                <w:u w:val="single"/>
              </w:rPr>
              <w:t>    </w:t>
            </w:r>
          </w:p>
          <w:p>
            <w:pPr>
              <w:pStyle w:val="TableContents"/>
              <w:bidi w:val="0"/>
              <w:spacing w:lineRule="auto" w:line="288" w:before="35" w:after="283"/>
              <w:jc w:val="left"/>
              <w:rPr>
                <w:rFonts w:ascii="Times New Roman;serif" w:hAnsi="Times New Roman;serif"/>
                <w:b w:val="false"/>
                <w:color w:val="231F20"/>
                <w:sz w:val="12"/>
              </w:rPr>
            </w:pPr>
            <w:r>
              <w:rPr>
                <w:rFonts w:ascii="Times New Roman;serif" w:hAnsi="Times New Roman;serif"/>
                <w:b w:val="false"/>
                <w:color w:val="231F20"/>
                <w:sz w:val="12"/>
              </w:rPr>
              <w:t>(please specify)</w:t>
            </w:r>
          </w:p>
        </w:tc>
        <w:tc>
          <w:tcPr>
            <w:tcW w:w="3150" w:type="dxa"/>
            <w:gridSpan w:val="3"/>
            <w:tcBorders/>
            <w:tcMar>
              <w:top w:w="0" w:type="dxa"/>
              <w:left w:w="0" w:type="dxa"/>
              <w:bottom w:w="0" w:type="dxa"/>
              <w:right w:w="0" w:type="dxa"/>
            </w:tcMar>
            <w:vAlign w:val="center"/>
          </w:tcPr>
          <w:p>
            <w:pPr>
              <w:pStyle w:val="TableContents"/>
              <w:bidi w:val="0"/>
              <w:spacing w:lineRule="auto" w:line="288" w:before="16" w:after="283"/>
              <w:jc w:val="left"/>
              <w:rPr>
                <w:rFonts w:ascii="Times New Roman;serif" w:hAnsi="Times New Roman;serif"/>
                <w:b/>
                <w:color w:val="231F20"/>
                <w:sz w:val="17"/>
              </w:rPr>
            </w:pPr>
            <w:r>
              <w:rPr>
                <w:rFonts w:ascii="Times New Roman;serif" w:hAnsi="Times New Roman;serif"/>
                <w:b/>
                <w:color w:val="231F20"/>
                <w:sz w:val="17"/>
              </w:rPr>
              <w:t>QUALIFIED PLAN ACCOUNT</w:t>
            </w:r>
          </w:p>
          <w:p>
            <w:pPr>
              <w:pStyle w:val="TableContents"/>
              <w:bidi w:val="0"/>
              <w:spacing w:lineRule="auto" w:line="288" w:before="55"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Traditional IRA</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Roth IRA</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Rollover IRA</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SIMPLE IRA</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SEP IRA</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Beneficial IRA</w:t>
            </w:r>
          </w:p>
          <w:p>
            <w:pPr>
              <w:pStyle w:val="TableContents"/>
              <w:bidi w:val="0"/>
              <w:spacing w:lineRule="auto" w:line="288" w:before="18" w:after="283"/>
              <w:ind w:left="0" w:right="0" w:hanging="220"/>
              <w:jc w:val="left"/>
              <w:rPr/>
            </w:pPr>
            <w:r>
              <w:rPr>
                <w:rFonts w:ascii="Times New Roman;serif" w:hAnsi="Times New Roman;serif"/>
                <w:b w:val="false"/>
                <w:color w:val="231F20"/>
                <w:sz w:val="16"/>
              </w:rPr>
              <w:t xml:space="preserve">Other </w:t>
            </w:r>
            <w:r>
              <w:rPr>
                <w:color w:val="231F20"/>
                <w:u w:val="single"/>
              </w:rPr>
              <w:t>    </w:t>
            </w:r>
          </w:p>
          <w:p>
            <w:pPr>
              <w:pStyle w:val="TableContents"/>
              <w:bidi w:val="0"/>
              <w:spacing w:lineRule="auto" w:line="288" w:before="35" w:after="283"/>
              <w:jc w:val="left"/>
              <w:rPr>
                <w:rFonts w:ascii="Times New Roman;serif" w:hAnsi="Times New Roman;serif"/>
                <w:b w:val="false"/>
                <w:color w:val="231F20"/>
                <w:sz w:val="12"/>
              </w:rPr>
            </w:pPr>
            <w:r>
              <w:rPr>
                <w:rFonts w:ascii="Times New Roman;serif" w:hAnsi="Times New Roman;serif"/>
                <w:b w:val="false"/>
                <w:color w:val="231F20"/>
                <w:sz w:val="12"/>
              </w:rPr>
              <w:t>(please specify)</w:t>
            </w:r>
          </w:p>
        </w:tc>
        <w:tc>
          <w:tcPr>
            <w:tcW w:w="3249" w:type="dxa"/>
            <w:gridSpan w:val="3"/>
            <w:vMerge w:val="restart"/>
            <w:tcBorders/>
            <w:tcMar>
              <w:top w:w="0" w:type="dxa"/>
              <w:left w:w="0" w:type="dxa"/>
              <w:bottom w:w="0" w:type="dxa"/>
              <w:right w:w="0" w:type="dxa"/>
            </w:tcMar>
            <w:vAlign w:val="center"/>
          </w:tcPr>
          <w:p>
            <w:pPr>
              <w:pStyle w:val="TableContents"/>
              <w:bidi w:val="0"/>
              <w:spacing w:lineRule="atLeast" w:line="258" w:before="16" w:after="283"/>
              <w:jc w:val="left"/>
              <w:rPr>
                <w:rFonts w:ascii="Times New Roman;serif" w:hAnsi="Times New Roman;serif"/>
                <w:b/>
                <w:color w:val="231F20"/>
                <w:sz w:val="17"/>
              </w:rPr>
            </w:pPr>
            <w:r>
              <w:rPr>
                <w:rFonts w:ascii="Times New Roman;serif" w:hAnsi="Times New Roman;serif"/>
                <w:b/>
                <w:color w:val="231F20"/>
                <w:sz w:val="17"/>
              </w:rPr>
              <w:t>OTHER ACCOUNT</w:t>
            </w:r>
          </w:p>
          <w:p>
            <w:pPr>
              <w:pStyle w:val="TableContents"/>
              <w:bidi w:val="0"/>
              <w:spacing w:lineRule="atLeast" w:line="142" w:before="0" w:after="0"/>
              <w:jc w:val="left"/>
              <w:rPr>
                <w:rFonts w:ascii="Times New Roman;serif" w:hAnsi="Times New Roman;serif"/>
                <w:b w:val="false"/>
                <w:color w:val="231F20"/>
                <w:sz w:val="12"/>
              </w:rPr>
            </w:pPr>
            <w:r>
              <w:rPr>
                <w:rFonts w:ascii="Times New Roman;serif" w:hAnsi="Times New Roman;serif"/>
                <w:b w:val="false"/>
                <w:color w:val="231F20"/>
                <w:sz w:val="12"/>
              </w:rPr>
              <w:t>Supporting documents are required</w:t>
            </w:r>
          </w:p>
          <w:p>
            <w:pPr>
              <w:pStyle w:val="TableContents"/>
              <w:bidi w:val="0"/>
              <w:spacing w:lineRule="auto" w:line="288" w:before="104"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Trust†</w:t>
            </w:r>
          </w:p>
          <w:p>
            <w:pPr>
              <w:pStyle w:val="TableContents"/>
              <w:bidi w:val="0"/>
              <w:spacing w:lineRule="auto" w:line="288" w:before="19"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Estate</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401(k)</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Profit-sharing plan</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Qualified pension</w:t>
            </w:r>
          </w:p>
          <w:p>
            <w:pPr>
              <w:pStyle w:val="TableContents"/>
              <w:bidi w:val="0"/>
              <w:spacing w:lineRule="atLeast" w:line="220"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Other</w:t>
            </w:r>
          </w:p>
          <w:p>
            <w:pPr>
              <w:pStyle w:val="TableContents"/>
              <w:bidi w:val="0"/>
              <w:spacing w:lineRule="atLeast" w:line="142" w:before="0" w:after="0"/>
              <w:jc w:val="left"/>
              <w:rPr/>
            </w:pPr>
            <w:r>
              <w:rPr/>
              <w:drawing>
                <wp:inline distT="0" distB="0" distL="0" distR="0">
                  <wp:extent cx="1647825" cy="1460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647825" cy="14605"/>
                          </a:xfrm>
                          <a:prstGeom prst="rect">
                            <a:avLst/>
                          </a:prstGeom>
                        </pic:spPr>
                      </pic:pic>
                    </a:graphicData>
                  </a:graphic>
                </wp:inline>
              </w:drawing>
            </w:r>
            <w:r>
              <w:rPr>
                <w:rFonts w:ascii="Times New Roman;serif" w:hAnsi="Times New Roman;serif"/>
                <w:b w:val="false"/>
                <w:color w:val="231F20"/>
                <w:sz w:val="12"/>
              </w:rPr>
              <w:t>(please specify)</w:t>
            </w:r>
          </w:p>
          <w:p>
            <w:pPr>
              <w:pStyle w:val="TableContents"/>
              <w:bidi w:val="0"/>
              <w:spacing w:before="0" w:after="0"/>
              <w:jc w:val="left"/>
              <w:rPr/>
            </w:pPr>
            <w:r>
              <w:rPr/>
            </w:r>
          </w:p>
          <w:p>
            <w:pPr>
              <w:pStyle w:val="TableContents"/>
              <w:bidi w:val="0"/>
              <w:spacing w:before="125" w:after="283"/>
              <w:jc w:val="left"/>
              <w:rPr/>
            </w:pPr>
            <w:r>
              <w:rPr/>
            </w:r>
          </w:p>
          <w:p>
            <w:pPr>
              <w:pStyle w:val="TableContents"/>
              <w:bidi w:val="0"/>
              <w:spacing w:lineRule="auto" w:line="288" w:before="1" w:after="283"/>
              <w:jc w:val="left"/>
              <w:rPr>
                <w:rFonts w:ascii="Times New Roman;serif" w:hAnsi="Times New Roman;serif"/>
                <w:b w:val="false"/>
                <w:color w:val="231F20"/>
                <w:sz w:val="12"/>
              </w:rPr>
            </w:pPr>
            <w:r>
              <w:rPr>
                <w:rFonts w:ascii="Times New Roman;serif" w:hAnsi="Times New Roman;serif"/>
                <w:b w:val="false"/>
                <w:color w:val="231F20"/>
                <w:sz w:val="12"/>
              </w:rPr>
              <w:t>Please complete part B of section 5.</w:t>
            </w:r>
          </w:p>
          <w:p>
            <w:pPr>
              <w:pStyle w:val="TableContents"/>
              <w:bidi w:val="0"/>
              <w:spacing w:lineRule="atLeast" w:line="258" w:before="78" w:after="283"/>
              <w:jc w:val="left"/>
              <w:rPr>
                <w:rFonts w:ascii="Times New Roman;serif" w:hAnsi="Times New Roman;serif"/>
                <w:b/>
                <w:color w:val="231F20"/>
                <w:sz w:val="17"/>
              </w:rPr>
            </w:pPr>
            <w:r>
              <w:rPr>
                <w:rFonts w:ascii="Times New Roman;serif" w:hAnsi="Times New Roman;serif"/>
                <w:b/>
                <w:color w:val="231F20"/>
                <w:sz w:val="17"/>
              </w:rPr>
              <w:t>LEGAL ENTITY</w:t>
            </w:r>
          </w:p>
          <w:p>
            <w:pPr>
              <w:pStyle w:val="TableContents"/>
              <w:bidi w:val="0"/>
              <w:spacing w:lineRule="atLeast" w:line="142" w:before="0" w:after="0"/>
              <w:jc w:val="left"/>
              <w:rPr>
                <w:rFonts w:ascii="Times New Roman;serif" w:hAnsi="Times New Roman;serif"/>
                <w:b w:val="false"/>
                <w:color w:val="231F20"/>
                <w:sz w:val="12"/>
              </w:rPr>
            </w:pPr>
            <w:r>
              <w:rPr>
                <w:rFonts w:ascii="Times New Roman;serif" w:hAnsi="Times New Roman;serif"/>
                <w:b w:val="false"/>
                <w:color w:val="231F20"/>
                <w:sz w:val="12"/>
              </w:rPr>
              <w:t>Supporting documents are required.</w:t>
            </w:r>
          </w:p>
          <w:p>
            <w:pPr>
              <w:pStyle w:val="TableContents"/>
              <w:bidi w:val="0"/>
              <w:spacing w:lineRule="auto" w:line="288" w:before="105" w:after="283"/>
              <w:ind w:left="0" w:right="0" w:hanging="220"/>
              <w:jc w:val="left"/>
              <w:rPr>
                <w:rFonts w:ascii="Times New Roman;serif" w:hAnsi="Times New Roman;serif"/>
                <w:b w:val="false"/>
                <w:color w:val="231F20"/>
                <w:sz w:val="17"/>
              </w:rPr>
            </w:pPr>
            <w:r>
              <w:rPr>
                <w:rFonts w:ascii="Times New Roman;serif" w:hAnsi="Times New Roman;serif"/>
                <w:b w:val="false"/>
                <w:color w:val="231F20"/>
                <w:sz w:val="17"/>
              </w:rPr>
              <w:t>Corporation: S-Corp</w:t>
            </w:r>
          </w:p>
          <w:p>
            <w:pPr>
              <w:pStyle w:val="TableContents"/>
              <w:bidi w:val="0"/>
              <w:spacing w:lineRule="auto" w:line="288" w:before="18" w:after="283"/>
              <w:ind w:left="0" w:right="0" w:hanging="220"/>
              <w:jc w:val="left"/>
              <w:rPr>
                <w:rFonts w:ascii="Times New Roman;serif" w:hAnsi="Times New Roman;serif"/>
                <w:b w:val="false"/>
                <w:color w:val="231F20"/>
                <w:sz w:val="17"/>
              </w:rPr>
            </w:pPr>
            <w:r>
              <w:rPr>
                <w:rFonts w:ascii="Times New Roman;serif" w:hAnsi="Times New Roman;serif"/>
                <w:b w:val="false"/>
                <w:color w:val="231F20"/>
                <w:sz w:val="17"/>
              </w:rPr>
              <w:t>Corporation: C-Corp</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Partnership</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LLC</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Professional Corporation</w:t>
            </w:r>
          </w:p>
          <w:p>
            <w:pPr>
              <w:pStyle w:val="TableContents"/>
              <w:bidi w:val="0"/>
              <w:spacing w:lineRule="auto" w:line="288" w:before="18" w:after="283"/>
              <w:ind w:left="0" w:right="0" w:hanging="220"/>
              <w:jc w:val="left"/>
              <w:rPr>
                <w:rFonts w:ascii="Times New Roman;serif" w:hAnsi="Times New Roman;serif"/>
                <w:b w:val="false"/>
                <w:color w:val="231F20"/>
                <w:sz w:val="16"/>
              </w:rPr>
            </w:pPr>
            <w:r>
              <w:rPr>
                <w:rFonts w:ascii="Times New Roman;serif" w:hAnsi="Times New Roman;serif"/>
                <w:b w:val="false"/>
                <w:color w:val="231F20"/>
                <w:sz w:val="16"/>
              </w:rPr>
              <w:t>Nonprofit</w:t>
            </w:r>
          </w:p>
        </w:tc>
      </w:tr>
      <w:tr>
        <w:trPr/>
        <w:tc>
          <w:tcPr>
            <w:tcW w:w="6956"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2" w:after="283"/>
              <w:jc w:val="left"/>
              <w:rPr/>
            </w:pPr>
            <w:r>
              <w:rPr/>
            </w:r>
          </w:p>
          <w:p>
            <w:pPr>
              <w:pStyle w:val="TableContents"/>
              <w:bidi w:val="0"/>
              <w:spacing w:lineRule="auto" w:line="321" w:before="1" w:after="283"/>
              <w:ind w:left="0" w:right="0" w:hanging="56"/>
              <w:jc w:val="left"/>
              <w:rPr/>
            </w:pPr>
            <w:r>
              <w:rPr>
                <w:rFonts w:ascii="Times New Roman;serif" w:hAnsi="Times New Roman;serif"/>
                <w:b w:val="false"/>
                <w:color w:val="231F20"/>
                <w:sz w:val="12"/>
              </w:rPr>
              <w:t xml:space="preserve">*To make a transfer on death (TOD) designation, attach a completed TOD form. TOD forms can be found on </w:t>
            </w:r>
            <w:r>
              <w:rPr>
                <w:rFonts w:ascii="Times New Roman;serif" w:hAnsi="Times New Roman;serif"/>
                <w:b w:val="false"/>
                <w:color w:val="231F20"/>
                <w:sz w:val="12"/>
                <w:u w:val="single"/>
              </w:rPr>
              <w:t>www.futurestandard.com</w:t>
            </w:r>
            <w:r>
              <w:rPr>
                <w:rFonts w:ascii="Times New Roman;serif" w:hAnsi="Times New Roman;serif"/>
                <w:b w:val="false"/>
                <w:color w:val="231F20"/>
                <w:sz w:val="12"/>
              </w:rPr>
              <w:t>.</w:t>
            </w:r>
          </w:p>
          <w:p>
            <w:pPr>
              <w:pStyle w:val="TableContents"/>
              <w:bidi w:val="0"/>
              <w:spacing w:lineRule="auto" w:line="276" w:before="0" w:after="0"/>
              <w:ind w:left="0" w:right="0" w:hanging="46"/>
              <w:jc w:val="left"/>
              <w:rPr/>
            </w:pPr>
            <w:r>
              <w:rPr>
                <w:color w:val="231F20"/>
              </w:rPr>
              <w:t>†</w:t>
            </w:r>
            <w:r>
              <w:rPr>
                <w:rFonts w:ascii="Times New Roman;serif" w:hAnsi="Times New Roman;serif"/>
                <w:b w:val="false"/>
                <w:color w:val="231F20"/>
                <w:sz w:val="12"/>
              </w:rPr>
              <w:t xml:space="preserve">The FS Trustee Certification of Investment Powers for Trust Accounts form may be completed in lieu of providing trust documents. You can obtain this form by visiting </w:t>
            </w:r>
            <w:r>
              <w:rPr>
                <w:rFonts w:ascii="Times New Roman;serif" w:hAnsi="Times New Roman;serif"/>
                <w:b w:val="false"/>
                <w:color w:val="231F20"/>
                <w:sz w:val="12"/>
                <w:u w:val="single"/>
              </w:rPr>
              <w:t>www.futurestandard.com</w:t>
            </w:r>
            <w:r>
              <w:rPr>
                <w:rFonts w:ascii="Times New Roman;serif" w:hAnsi="Times New Roman;serif"/>
                <w:b w:val="false"/>
                <w:color w:val="231F20"/>
                <w:sz w:val="12"/>
              </w:rPr>
              <w:t>.</w:t>
            </w:r>
          </w:p>
        </w:tc>
        <w:tc>
          <w:tcPr>
            <w:tcW w:w="324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8400" w:type="dxa"/>
        <w:jc w:val="left"/>
        <w:tblInd w:w="0" w:type="dxa"/>
        <w:tblLayout w:type="fixed"/>
        <w:tblCellMar>
          <w:top w:w="28" w:type="dxa"/>
          <w:left w:w="28" w:type="dxa"/>
          <w:bottom w:w="28" w:type="dxa"/>
          <w:right w:w="28" w:type="dxa"/>
        </w:tblCellMar>
      </w:tblPr>
      <w:tblGrid>
        <w:gridCol w:w="2690"/>
        <w:gridCol w:w="2360"/>
        <w:gridCol w:w="3350"/>
      </w:tblGrid>
      <w:tr>
        <w:trPr/>
        <w:tc>
          <w:tcPr>
            <w:tcW w:w="26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8400" w:type="dxa"/>
            <w:gridSpan w:val="3"/>
            <w:tcBorders/>
            <w:tcMar>
              <w:top w:w="0" w:type="dxa"/>
              <w:left w:w="0" w:type="dxa"/>
              <w:bottom w:w="0" w:type="dxa"/>
              <w:right w:w="0" w:type="dxa"/>
            </w:tcMar>
            <w:vAlign w:val="center"/>
          </w:tcPr>
          <w:p>
            <w:pPr>
              <w:pStyle w:val="TableContents"/>
              <w:bidi w:val="0"/>
              <w:spacing w:lineRule="auto" w:line="288" w:before="51" w:after="283"/>
              <w:jc w:val="left"/>
              <w:rPr>
                <w:rFonts w:ascii="Times New Roman;serif" w:hAnsi="Times New Roman;serif"/>
                <w:b w:val="false"/>
                <w:color w:val="231F20"/>
                <w:sz w:val="16"/>
              </w:rPr>
            </w:pPr>
            <w:r>
              <w:rPr>
                <w:rFonts w:ascii="Times New Roman;serif" w:hAnsi="Times New Roman;serif"/>
                <w:b w:val="false"/>
                <w:color w:val="231F20"/>
                <w:sz w:val="16"/>
              </w:rPr>
              <w:t>FS Credit Real Estate Income Trust, Inc. – Subscription Agreement | Class D, Class I, Class M, Class S and Class T V6.3</w:t>
            </w:r>
          </w:p>
        </w:tc>
      </w:tr>
    </w:tbl>
    <w:p>
      <w:pPr>
        <w:pStyle w:val="TextBody"/>
        <w:bidi w:val="0"/>
        <w:spacing w:before="0" w:after="0"/>
        <w:jc w:val="left"/>
        <w:rPr/>
      </w:pPr>
      <w:r>
        <w:rPr/>
      </w:r>
    </w:p>
    <w:tbl>
      <w:tblPr>
        <w:tblW w:w="6233" w:type="dxa"/>
        <w:jc w:val="left"/>
        <w:tblInd w:w="0" w:type="dxa"/>
        <w:tblLayout w:type="fixed"/>
        <w:tblCellMar>
          <w:top w:w="28" w:type="dxa"/>
          <w:left w:w="28" w:type="dxa"/>
          <w:bottom w:w="28" w:type="dxa"/>
          <w:right w:w="28" w:type="dxa"/>
        </w:tblCellMar>
      </w:tblPr>
      <w:tblGrid>
        <w:gridCol w:w="1327"/>
        <w:gridCol w:w="1165"/>
        <w:gridCol w:w="1168"/>
        <w:gridCol w:w="599"/>
        <w:gridCol w:w="599"/>
        <w:gridCol w:w="601"/>
        <w:gridCol w:w="226"/>
        <w:gridCol w:w="226"/>
        <w:gridCol w:w="322"/>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231F20" w:val="clear"/>
            <w:tcMar>
              <w:top w:w="0" w:type="dxa"/>
              <w:left w:w="0" w:type="dxa"/>
              <w:bottom w:w="0" w:type="dxa"/>
              <w:right w:w="0" w:type="dxa"/>
            </w:tcMar>
            <w:vAlign w:val="center"/>
          </w:tcPr>
          <w:p>
            <w:pPr>
              <w:pStyle w:val="TableContents"/>
              <w:bidi w:val="0"/>
              <w:spacing w:lineRule="atLeast" w:line="335" w:before="5" w:after="283"/>
              <w:jc w:val="left"/>
              <w:rPr/>
            </w:pPr>
            <w:r>
              <w:rPr>
                <w:color w:val="FFFFFF"/>
              </w:rPr>
              <w:t> </w:t>
            </w:r>
            <w:r>
              <w:rPr>
                <w:rFonts w:ascii="Times New Roman;serif" w:hAnsi="Times New Roman;serif"/>
                <w:b w:val="false"/>
                <w:color w:val="FFFFFF"/>
                <w:sz w:val="22"/>
                <w:shd w:fill="231F20" w:val="clear"/>
              </w:rPr>
              <w:t>4</w:t>
            </w:r>
            <w:r>
              <w:rPr>
                <w:color w:val="FFFFFF"/>
              </w:rPr>
              <w:t xml:space="preserve"> </w:t>
            </w:r>
            <w:r>
              <w:rPr>
                <w:rFonts w:ascii="Times New Roman;serif" w:hAnsi="Times New Roman;serif"/>
                <w:b w:val="false"/>
                <w:color w:val="FFFFFF"/>
                <w:sz w:val="22"/>
                <w:shd w:fill="231F20" w:val="clear"/>
              </w:rPr>
              <w:t>Custodial</w:t>
            </w:r>
            <w:r>
              <w:rPr>
                <w:color w:val="FFFFFF"/>
              </w:rPr>
              <w:t xml:space="preserve"> </w:t>
            </w:r>
            <w:r>
              <w:rPr>
                <w:rFonts w:ascii="Times New Roman;serif" w:hAnsi="Times New Roman;serif"/>
                <w:b w:val="false"/>
                <w:color w:val="FFFFFF"/>
                <w:sz w:val="22"/>
                <w:shd w:fill="231F20" w:val="clear"/>
              </w:rPr>
              <w:t>arrangement</w:t>
            </w:r>
            <w:r>
              <w:rPr>
                <w:color w:val="FFFFFF"/>
              </w:rPr>
              <w:t xml:space="preserve"> </w:t>
            </w:r>
            <w:r>
              <w:rPr>
                <w:rFonts w:ascii="Times New Roman;serif" w:hAnsi="Times New Roman;serif"/>
                <w:b w:val="false"/>
                <w:color w:val="FFFFFF"/>
                <w:sz w:val="18"/>
                <w:shd w:fill="231F20" w:val="clear"/>
              </w:rPr>
              <w:t>If</w:t>
            </w:r>
            <w:r>
              <w:rPr>
                <w:color w:val="FFFFFF"/>
              </w:rPr>
              <w:t xml:space="preserve"> </w:t>
            </w:r>
            <w:r>
              <w:rPr>
                <w:rFonts w:ascii="Times New Roman;serif" w:hAnsi="Times New Roman;serif"/>
                <w:b w:val="false"/>
                <w:color w:val="FFFFFF"/>
                <w:sz w:val="18"/>
                <w:shd w:fill="231F20" w:val="clear"/>
              </w:rPr>
              <w:t>applicable</w:t>
            </w:r>
            <w:r>
              <w:rPr>
                <w:color w:val="FFFFFF"/>
              </w:rPr>
              <w:t>    </w:t>
            </w:r>
          </w:p>
        </w:tc>
        <w:tc>
          <w:tcPr>
            <w:tcW w:w="2573" w:type="dxa"/>
            <w:gridSpan w:val="6"/>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tLeast" w:line="150" w:before="92" w:after="283"/>
              <w:jc w:val="left"/>
              <w:rPr>
                <w:rFonts w:ascii="Times New Roman;serif" w:hAnsi="Times New Roman;serif"/>
                <w:b w:val="false"/>
                <w:color w:val="231F20"/>
                <w:sz w:val="16"/>
              </w:rPr>
            </w:pPr>
            <w:r>
              <w:rPr>
                <w:rFonts w:ascii="Times New Roman;serif" w:hAnsi="Times New Roman;serif"/>
                <w:b w:val="false"/>
                <w:color w:val="231F20"/>
                <w:sz w:val="16"/>
              </w:rPr>
              <w:t>Name of custodian</w:t>
            </w:r>
          </w:p>
        </w:tc>
        <w:tc>
          <w:tcPr>
            <w:tcW w:w="2573" w:type="dxa"/>
            <w:gridSpan w:val="6"/>
            <w:tcBorders>
              <w:bottom w:val="single" w:sz="2" w:space="0" w:color="000000"/>
            </w:tcBorders>
            <w:tcMar>
              <w:top w:w="0" w:type="dxa"/>
              <w:left w:w="0" w:type="dxa"/>
              <w:bottom w:w="30" w:type="dxa"/>
              <w:right w:w="0" w:type="dxa"/>
            </w:tcMar>
            <w:vAlign w:val="center"/>
          </w:tcPr>
          <w:p>
            <w:pPr>
              <w:pStyle w:val="TableContents"/>
              <w:bidi w:val="0"/>
              <w:spacing w:lineRule="atLeast" w:line="150" w:before="92" w:after="283"/>
              <w:jc w:val="left"/>
              <w:rPr>
                <w:rFonts w:ascii="Times New Roman;serif" w:hAnsi="Times New Roman;serif"/>
                <w:b w:val="false"/>
                <w:color w:val="231F20"/>
                <w:sz w:val="16"/>
              </w:rPr>
            </w:pPr>
            <w:r>
              <w:rPr>
                <w:rFonts w:ascii="Times New Roman;serif" w:hAnsi="Times New Roman;serif"/>
                <w:b w:val="false"/>
                <w:color w:val="231F20"/>
                <w:sz w:val="16"/>
              </w:rPr>
              <w:t>Custodian phone #</w:t>
            </w:r>
          </w:p>
        </w:tc>
      </w:tr>
      <w:tr>
        <w:trPr/>
        <w:tc>
          <w:tcPr>
            <w:tcW w:w="6233" w:type="dxa"/>
            <w:gridSpan w:val="9"/>
            <w:tcBorders>
              <w:top w:val="single" w:sz="2" w:space="0" w:color="000000"/>
            </w:tcBorders>
            <w:tcMar>
              <w:top w:w="30" w:type="dxa"/>
              <w:left w:w="0" w:type="dxa"/>
              <w:bottom w:w="0" w:type="dxa"/>
              <w:right w:w="0" w:type="dxa"/>
            </w:tcMar>
            <w:vAlign w:val="center"/>
          </w:tcPr>
          <w:p>
            <w:pPr>
              <w:pStyle w:val="TableContents"/>
              <w:bidi w:val="0"/>
              <w:spacing w:lineRule="atLeast" w:line="164" w:before="113" w:after="283"/>
              <w:jc w:val="left"/>
              <w:rPr>
                <w:rFonts w:ascii="Times New Roman;serif" w:hAnsi="Times New Roman;serif"/>
                <w:b w:val="false"/>
                <w:color w:val="231F20"/>
                <w:sz w:val="16"/>
              </w:rPr>
            </w:pPr>
            <w:r>
              <w:rPr>
                <w:rFonts w:ascii="Times New Roman;serif" w:hAnsi="Times New Roman;serif"/>
                <w:b w:val="false"/>
                <w:color w:val="231F20"/>
                <w:sz w:val="16"/>
              </w:rPr>
              <w:t>Mailing address</w:t>
            </w:r>
          </w:p>
        </w:tc>
      </w:tr>
      <w:tr>
        <w:trPr/>
        <w:tc>
          <w:tcPr>
            <w:tcW w:w="36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2"/>
              </w:rPr>
            </w:pPr>
            <w:r>
              <w:rPr>
                <w:rFonts w:ascii="Times New Roman;serif" w:hAnsi="Times New Roman;serif"/>
                <w:b w:val="false"/>
                <w:color w:val="231F20"/>
                <w:sz w:val="12"/>
              </w:rPr>
              <w:t>(street)</w:t>
            </w:r>
          </w:p>
        </w:tc>
        <w:tc>
          <w:tcPr>
            <w:tcW w:w="17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9" w:after="283"/>
              <w:jc w:val="center"/>
              <w:rPr>
                <w:rFonts w:ascii="Times New Roman;serif" w:hAnsi="Times New Roman;serif"/>
                <w:b w:val="false"/>
                <w:color w:val="231F20"/>
                <w:sz w:val="12"/>
              </w:rPr>
            </w:pPr>
            <w:r>
              <w:rPr>
                <w:rFonts w:ascii="Times New Roman;serif" w:hAnsi="Times New Roman;serif"/>
                <w:b w:val="false"/>
                <w:color w:val="231F20"/>
                <w:sz w:val="12"/>
              </w:rPr>
              <w:t>(city, state)</w:t>
            </w:r>
          </w:p>
        </w:tc>
        <w:tc>
          <w:tcPr>
            <w:tcW w:w="7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9" w:after="283"/>
              <w:jc w:val="center"/>
              <w:rPr>
                <w:rFonts w:ascii="Times New Roman;serif" w:hAnsi="Times New Roman;serif"/>
                <w:b w:val="false"/>
                <w:color w:val="231F20"/>
                <w:sz w:val="12"/>
              </w:rPr>
            </w:pPr>
            <w:r>
              <w:rPr>
                <w:rFonts w:ascii="Times New Roman;serif" w:hAnsi="Times New Roman;serif"/>
                <w:b w:val="false"/>
                <w:color w:val="231F20"/>
                <w:sz w:val="12"/>
              </w:rPr>
              <w:t>(ZIP)</w:t>
            </w:r>
          </w:p>
        </w:tc>
      </w:tr>
      <w:tr>
        <w:trPr/>
        <w:tc>
          <w:tcPr>
            <w:tcW w:w="3660" w:type="dxa"/>
            <w:gridSpan w:val="3"/>
            <w:tcBorders/>
            <w:tcMar>
              <w:top w:w="0" w:type="dxa"/>
              <w:left w:w="0" w:type="dxa"/>
              <w:bottom w:w="0" w:type="dxa"/>
              <w:right w:w="0" w:type="dxa"/>
            </w:tcMar>
            <w:vAlign w:val="center"/>
          </w:tcPr>
          <w:p>
            <w:pPr>
              <w:pStyle w:val="TableContents"/>
              <w:bidi w:val="0"/>
              <w:spacing w:lineRule="atLeast" w:line="189" w:before="62" w:after="283"/>
              <w:jc w:val="left"/>
              <w:rPr>
                <w:rFonts w:ascii="Times New Roman;serif" w:hAnsi="Times New Roman;serif"/>
                <w:b w:val="false"/>
                <w:color w:val="231F20"/>
                <w:sz w:val="16"/>
              </w:rPr>
            </w:pPr>
            <w:r>
              <w:rPr>
                <w:rFonts w:ascii="Times New Roman;serif" w:hAnsi="Times New Roman;serif"/>
                <w:b w:val="false"/>
                <w:color w:val="231F20"/>
                <w:sz w:val="16"/>
              </w:rPr>
              <w:t>To be completed by custodian above</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tLeast" w:line="153" w:before="100" w:after="283"/>
              <w:jc w:val="left"/>
              <w:rPr>
                <w:rFonts w:ascii="Times New Roman;serif" w:hAnsi="Times New Roman;serif"/>
                <w:b w:val="false"/>
                <w:color w:val="231F20"/>
                <w:sz w:val="16"/>
              </w:rPr>
            </w:pPr>
            <w:r>
              <w:rPr>
                <w:rFonts w:ascii="Times New Roman;serif" w:hAnsi="Times New Roman;serif"/>
                <w:b w:val="false"/>
                <w:color w:val="231F20"/>
                <w:sz w:val="16"/>
              </w:rPr>
              <w:t>Custodian tax ID #</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tLeast" w:line="142" w:before="0" w:after="0"/>
              <w:jc w:val="left"/>
              <w:rPr>
                <w:rFonts w:ascii="Times New Roman;serif" w:hAnsi="Times New Roman;serif"/>
                <w:b w:val="false"/>
                <w:color w:val="231F20"/>
                <w:sz w:val="16"/>
              </w:rPr>
            </w:pPr>
            <w:r>
              <w:rPr>
                <w:rFonts w:ascii="Times New Roman;serif" w:hAnsi="Times New Roman;serif"/>
                <w:b w:val="false"/>
                <w:color w:val="231F20"/>
                <w:sz w:val="16"/>
              </w:rPr>
              <w:t>Custodian account #</w:t>
            </w:r>
          </w:p>
        </w:tc>
        <w:tc>
          <w:tcPr>
            <w:tcW w:w="1799" w:type="dxa"/>
            <w:gridSpan w:val="3"/>
            <w:tcBorders>
              <w:bottom w:val="single" w:sz="2" w:space="0" w:color="000000"/>
            </w:tcBorders>
            <w:tcMar>
              <w:top w:w="0" w:type="dxa"/>
              <w:left w:w="0" w:type="dxa"/>
              <w:bottom w:w="30" w:type="dxa"/>
              <w:right w:w="0" w:type="dxa"/>
            </w:tcMar>
            <w:vAlign w:val="center"/>
          </w:tcPr>
          <w:p>
            <w:pPr>
              <w:pStyle w:val="TableContents"/>
              <w:bidi w:val="0"/>
              <w:spacing w:lineRule="atLeast" w:line="165" w:before="113" w:after="283"/>
              <w:jc w:val="left"/>
              <w:rPr>
                <w:rFonts w:ascii="Times New Roman;serif" w:hAnsi="Times New Roman;serif"/>
                <w:b w:val="false"/>
                <w:color w:val="231F20"/>
                <w:sz w:val="16"/>
              </w:rPr>
            </w:pPr>
            <w:r>
              <w:rPr>
                <w:rFonts w:ascii="Times New Roman;serif" w:hAnsi="Times New Roman;serif"/>
                <w:b w:val="false"/>
                <w:color w:val="231F20"/>
                <w:sz w:val="16"/>
              </w:rPr>
              <w:t>Custodian authorization:</w:t>
            </w:r>
          </w:p>
        </w:tc>
        <w:tc>
          <w:tcPr>
            <w:tcW w:w="774"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 w:after="283"/>
        <w:jc w:val="left"/>
        <w:rPr/>
      </w:pPr>
      <w:r>
        <w:rPr/>
      </w:r>
    </w:p>
    <w:tbl>
      <w:tblPr>
        <w:tblW w:w="12326" w:type="dxa"/>
        <w:jc w:val="left"/>
        <w:tblInd w:w="0" w:type="dxa"/>
        <w:tblLayout w:type="fixed"/>
        <w:tblCellMar>
          <w:top w:w="28" w:type="dxa"/>
          <w:left w:w="28" w:type="dxa"/>
          <w:bottom w:w="28" w:type="dxa"/>
          <w:right w:w="28" w:type="dxa"/>
        </w:tblCellMar>
      </w:tblPr>
      <w:tblGrid>
        <w:gridCol w:w="124"/>
        <w:gridCol w:w="109"/>
        <w:gridCol w:w="109"/>
        <w:gridCol w:w="1030"/>
        <w:gridCol w:w="1030"/>
        <w:gridCol w:w="1019"/>
        <w:gridCol w:w="1489"/>
        <w:gridCol w:w="617"/>
        <w:gridCol w:w="621"/>
        <w:gridCol w:w="109"/>
        <w:gridCol w:w="109"/>
        <w:gridCol w:w="109"/>
        <w:gridCol w:w="1086"/>
        <w:gridCol w:w="973"/>
        <w:gridCol w:w="650"/>
        <w:gridCol w:w="1570"/>
        <w:gridCol w:w="650"/>
        <w:gridCol w:w="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12326" w:type="dxa"/>
            <w:gridSpan w:val="18"/>
            <w:tcBorders/>
            <w:shd w:fill="000000" w:val="clear"/>
            <w:tcMar>
              <w:top w:w="0" w:type="dxa"/>
              <w:left w:w="0" w:type="dxa"/>
              <w:bottom w:w="0" w:type="dxa"/>
              <w:right w:w="0" w:type="dxa"/>
            </w:tcMar>
            <w:vAlign w:val="center"/>
          </w:tcPr>
          <w:p>
            <w:pPr>
              <w:pStyle w:val="TableContents"/>
              <w:bidi w:val="0"/>
              <w:spacing w:lineRule="auto" w:line="288" w:before="5" w:after="283"/>
              <w:jc w:val="left"/>
              <w:rPr/>
            </w:pPr>
            <w:r>
              <w:rPr>
                <w:color w:val="FFFFFF"/>
              </w:rPr>
              <w:t> </w:t>
            </w:r>
            <w:r>
              <w:rPr>
                <w:rFonts w:ascii="Times New Roman;serif" w:hAnsi="Times New Roman;serif"/>
                <w:b w:val="false"/>
                <w:color w:val="FFFFFF"/>
                <w:sz w:val="22"/>
              </w:rPr>
              <w:t xml:space="preserve">5 Investor information </w:t>
            </w:r>
            <w:r>
              <w:rPr>
                <w:rFonts w:ascii="Times New Roman;serif" w:hAnsi="Times New Roman;serif"/>
                <w:b w:val="false"/>
                <w:color w:val="FFFFFF"/>
                <w:sz w:val="18"/>
              </w:rPr>
              <w:t>Please print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78" w:after="283"/>
              <w:jc w:val="center"/>
              <w:rPr>
                <w:rFonts w:ascii="Times New Roman;serif" w:hAnsi="Times New Roman;serif"/>
                <w:b w:val="false"/>
                <w:color w:val="231F20"/>
                <w:sz w:val="18"/>
              </w:rPr>
            </w:pPr>
            <w:r>
              <w:rPr>
                <w:rFonts w:ascii="Times New Roman;serif" w:hAnsi="Times New Roman;serif"/>
                <w:b w:val="false"/>
                <w:color w:val="231F20"/>
                <w:sz w:val="18"/>
              </w:rPr>
              <w:t>A</w:t>
            </w:r>
          </w:p>
        </w:tc>
        <w:tc>
          <w:tcPr>
            <w:tcW w:w="5806" w:type="dxa"/>
            <w:gridSpan w:val="6"/>
            <w:tcBorders/>
            <w:tcMar>
              <w:top w:w="0" w:type="dxa"/>
              <w:left w:w="0" w:type="dxa"/>
              <w:bottom w:w="0" w:type="dxa"/>
              <w:right w:w="0" w:type="dxa"/>
            </w:tcMar>
            <w:vAlign w:val="center"/>
          </w:tcPr>
          <w:p>
            <w:pPr>
              <w:pStyle w:val="TableContents"/>
              <w:bidi w:val="0"/>
              <w:spacing w:lineRule="auto" w:line="288" w:before="128" w:after="283"/>
              <w:jc w:val="left"/>
              <w:rPr>
                <w:rFonts w:ascii="Times New Roman;serif" w:hAnsi="Times New Roman;serif"/>
                <w:b w:val="false"/>
                <w:color w:val="231F20"/>
                <w:sz w:val="16"/>
              </w:rPr>
            </w:pPr>
            <w:r>
              <w:rPr>
                <w:rFonts w:ascii="Times New Roman;serif" w:hAnsi="Times New Roman;serif"/>
                <w:b w:val="false"/>
                <w:color w:val="231F20"/>
                <w:sz w:val="16"/>
              </w:rPr>
              <w:t>Individual/beneficial owner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lineRule="auto" w:line="240" w:before="128" w:after="283"/>
              <w:jc w:val="left"/>
              <w:rPr>
                <w:rFonts w:ascii="Times New Roman;serif" w:hAnsi="Times New Roman;serif"/>
                <w:b w:val="false"/>
                <w:color w:val="000000"/>
                <w:sz w:val="16"/>
              </w:rPr>
            </w:pPr>
            <w:r>
              <w:rPr>
                <w:rFonts w:ascii="Times New Roman;serif" w:hAnsi="Times New Roman;serif"/>
                <w:b w:val="false"/>
                <w:color w:val="000000"/>
                <w:sz w:val="16"/>
              </w:rPr>
              <w:t>Joint/beneficial owner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128" w:after="283"/>
              <w:jc w:val="left"/>
              <w:rPr>
                <w:rFonts w:ascii="Times New Roman;serif" w:hAnsi="Times New Roman;serif"/>
                <w:b w:val="false"/>
                <w:color w:val="000000"/>
                <w:sz w:val="12"/>
              </w:rPr>
            </w:pPr>
            <w:r>
              <w:rPr>
                <w:rFonts w:ascii="Times New Roman;serif" w:hAnsi="Times New Roman;serif"/>
                <w:b w:val="false"/>
                <w:color w:val="000000"/>
                <w:sz w:val="12"/>
              </w:rPr>
              <w:t>(first, middle, last)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13" w:after="283"/>
              <w:jc w:val="left"/>
              <w:rPr>
                <w:rFonts w:ascii="Times New Roman;serif" w:hAnsi="Times New Roman;serif"/>
                <w:b w:val="false"/>
                <w:color w:val="000000"/>
                <w:sz w:val="12"/>
              </w:rPr>
            </w:pPr>
            <w:r>
              <w:rPr>
                <w:rFonts w:ascii="Times New Roman;serif" w:hAnsi="Times New Roman;serif"/>
                <w:b w:val="false"/>
                <w:color w:val="000000"/>
                <w:sz w:val="12"/>
              </w:rPr>
              <w:t>(first, middle, last)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SSN</w:t>
            </w:r>
          </w:p>
        </w:tc>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SSN</w:t>
            </w:r>
          </w:p>
        </w:tc>
        <w:tc>
          <w:tcPr>
            <w:tcW w:w="3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(mm/dd/yyyy)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(mm/dd/yyyy)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Phone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street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street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(You must include a permanent U.S. street address even if your mailing address is a P.O.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(You must include a permanent U.S. street address even if your mailing address is a P.O. Box)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 ZIP)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 ZIP)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Mailing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Mailing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(Leave blank if your U.S. street address and mailing address are the same)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(Leave blank if your U.S. street address and mailing address are the same)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 ZIP)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 ZIP)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cMar>
              <w:top w:w="0" w:type="dxa"/>
              <w:left w:w="0" w:type="dxa"/>
              <w:bottom w:w="0" w:type="dxa"/>
              <w:right w:w="0" w:type="dxa"/>
            </w:tcMar>
            <w:vAlign w:val="center"/>
          </w:tcPr>
          <w:p>
            <w:pPr>
              <w:pStyle w:val="TableContents"/>
              <w:bidi w:val="0"/>
              <w:spacing w:before="68" w:after="283"/>
              <w:jc w:val="left"/>
              <w:rPr/>
            </w:pPr>
            <w:r>
              <w:rPr/>
            </w:r>
          </w:p>
          <w:p>
            <w:pPr>
              <w:pStyle w:val="TableContents"/>
              <w:bidi w:val="0"/>
              <w:spacing w:lineRule="atLeast" w:line="248" w:before="68" w:after="283"/>
              <w:jc w:val="left"/>
              <w:rPr/>
            </w:pPr>
            <w:r>
              <w:rPr>
                <w:rFonts w:ascii="Times New Roman;serif" w:hAnsi="Times New Roman;serif"/>
                <w:b w:val="false"/>
                <w:color w:val="231F20"/>
                <w:sz w:val="16"/>
              </w:rPr>
              <w:t xml:space="preserve">CITIZENSHIP U.S. citizen Resident alien </w:t>
            </w:r>
            <w:r>
              <w:rPr>
                <w:color w:val="231F20"/>
                <w:u w:val="single"/>
              </w:rPr>
              <w:t xml:space="preserve">     </w:t>
            </w:r>
          </w:p>
          <w:p>
            <w:pPr>
              <w:pStyle w:val="TableContents"/>
              <w:bidi w:val="0"/>
              <w:spacing w:lineRule="atLeast" w:line="248" w:before="68" w:after="283"/>
              <w:jc w:val="left"/>
              <w:rPr>
                <w:color w:val="231F20"/>
              </w:rPr>
            </w:pPr>
            <w:r>
              <w:rPr>
                <w:color w:val="231F20"/>
              </w:rPr>
              <w:t>                                                                                     </w:t>
            </w:r>
            <w:r>
              <w:rPr>
                <w:rFonts w:ascii="Times New Roman;serif" w:hAnsi="Times New Roman;serif"/>
                <w:b w:val="false"/>
                <w:color w:val="231F2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before="68" w:after="283"/>
              <w:jc w:val="left"/>
              <w:rPr/>
            </w:pPr>
            <w:r>
              <w:rPr/>
            </w:r>
          </w:p>
          <w:p>
            <w:pPr>
              <w:pStyle w:val="TableContents"/>
              <w:bidi w:val="0"/>
              <w:spacing w:lineRule="atLeast" w:line="248" w:before="68" w:after="283"/>
              <w:jc w:val="left"/>
              <w:rPr/>
            </w:pPr>
            <w:r>
              <w:rPr>
                <w:rFonts w:ascii="Times New Roman;serif" w:hAnsi="Times New Roman;serif"/>
                <w:b w:val="false"/>
                <w:color w:val="231F20"/>
                <w:sz w:val="16"/>
              </w:rPr>
              <w:t xml:space="preserve">CITIZENSHIP U.S. citizen Resident alien </w:t>
            </w:r>
            <w:r>
              <w:rPr>
                <w:color w:val="231F20"/>
                <w:u w:val="single"/>
              </w:rPr>
              <w:t xml:space="preserve">     </w:t>
            </w:r>
          </w:p>
          <w:p>
            <w:pPr>
              <w:pStyle w:val="TableContents"/>
              <w:bidi w:val="0"/>
              <w:spacing w:lineRule="atLeast" w:line="248" w:before="68" w:after="283"/>
              <w:jc w:val="left"/>
              <w:rPr>
                <w:color w:val="231F20"/>
              </w:rPr>
            </w:pPr>
            <w:r>
              <w:rPr>
                <w:color w:val="231F20"/>
              </w:rPr>
              <w:t>                                                                                     </w:t>
            </w:r>
            <w:r>
              <w:rPr>
                <w:rFonts w:ascii="Times New Roman;serif" w:hAnsi="Times New Roman;serif"/>
                <w:b w:val="false"/>
                <w:color w:val="231F20"/>
                <w:sz w:val="16"/>
              </w:rPr>
              <w:t>(country)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cMar>
              <w:top w:w="0" w:type="dxa"/>
              <w:left w:w="0" w:type="dxa"/>
              <w:bottom w:w="0" w:type="dxa"/>
              <w:right w:w="0" w:type="dxa"/>
            </w:tcMar>
            <w:vAlign w:val="center"/>
          </w:tcPr>
          <w:p>
            <w:pPr>
              <w:pStyle w:val="TableContents"/>
              <w:bidi w:val="0"/>
              <w:spacing w:lineRule="atLeast" w:line="248" w:before="68" w:after="283"/>
              <w:jc w:val="left"/>
              <w:rPr>
                <w:color w:val="231F20"/>
              </w:rPr>
            </w:pPr>
            <w:r>
              <w:rPr>
                <w:color w:val="231F20"/>
              </w:rPr>
              <w:t>   </w:t>
            </w:r>
          </w:p>
          <w:p>
            <w:pPr>
              <w:pStyle w:val="TableContents"/>
              <w:bidi w:val="0"/>
              <w:spacing w:lineRule="atLeast" w:line="220" w:before="45" w:after="283"/>
              <w:ind w:left="0" w:right="0" w:hanging="220"/>
              <w:jc w:val="left"/>
              <w:rPr/>
            </w:pPr>
            <w:r>
              <w:rPr>
                <w:rFonts w:ascii="Times New Roman;serif" w:hAnsi="Times New Roman;serif"/>
                <w:b w:val="false"/>
                <w:color w:val="231F20"/>
                <w:sz w:val="16"/>
              </w:rPr>
              <w:t xml:space="preserve">Non-resident alien </w:t>
            </w:r>
            <w:r>
              <w:rPr>
                <w:color w:val="231F20"/>
                <w:u w:val="single"/>
              </w:rPr>
              <w:t xml:space="preserve">     </w:t>
            </w:r>
          </w:p>
          <w:p>
            <w:pPr>
              <w:pStyle w:val="TableContents"/>
              <w:bidi w:val="0"/>
              <w:spacing w:lineRule="atLeast" w:line="142" w:before="0" w:after="0"/>
              <w:jc w:val="left"/>
              <w:rPr>
                <w:rFonts w:ascii="Times New Roman;serif" w:hAnsi="Times New Roman;serif"/>
                <w:b w:val="false"/>
                <w:color w:val="231F20"/>
                <w:sz w:val="16"/>
              </w:rPr>
            </w:pPr>
            <w:r>
              <w:rPr>
                <w:rFonts w:ascii="Times New Roman;serif" w:hAnsi="Times New Roman;serif"/>
                <w:b w:val="false"/>
                <w:color w:val="231F20"/>
                <w:sz w:val="16"/>
              </w:rPr>
              <w:t>(form W-8BEN is required)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lineRule="atLeast" w:line="248" w:before="68" w:after="283"/>
              <w:jc w:val="left"/>
              <w:rPr>
                <w:color w:val="231F20"/>
              </w:rPr>
            </w:pPr>
            <w:r>
              <w:rPr>
                <w:color w:val="231F20"/>
              </w:rPr>
              <w:t>   </w:t>
            </w:r>
          </w:p>
          <w:p>
            <w:pPr>
              <w:pStyle w:val="TableContents"/>
              <w:bidi w:val="0"/>
              <w:spacing w:lineRule="atLeast" w:line="220" w:before="45" w:after="283"/>
              <w:ind w:left="0" w:right="0" w:hanging="220"/>
              <w:jc w:val="left"/>
              <w:rPr/>
            </w:pPr>
            <w:r>
              <w:rPr>
                <w:rFonts w:ascii="Times New Roman;serif" w:hAnsi="Times New Roman;serif"/>
                <w:b w:val="false"/>
                <w:color w:val="231F20"/>
                <w:sz w:val="16"/>
              </w:rPr>
              <w:t xml:space="preserve">Non-resident alien </w:t>
            </w:r>
            <w:r>
              <w:rPr>
                <w:color w:val="231F20"/>
                <w:u w:val="single"/>
              </w:rPr>
              <w:t xml:space="preserve">     </w:t>
            </w:r>
          </w:p>
          <w:p>
            <w:pPr>
              <w:pStyle w:val="TableContents"/>
              <w:bidi w:val="0"/>
              <w:spacing w:lineRule="atLeast" w:line="142" w:before="0" w:after="0"/>
              <w:jc w:val="left"/>
              <w:rPr>
                <w:rFonts w:ascii="Times New Roman;serif" w:hAnsi="Times New Roman;serif"/>
                <w:b w:val="false"/>
                <w:color w:val="231F20"/>
                <w:sz w:val="16"/>
              </w:rPr>
            </w:pPr>
            <w:r>
              <w:rPr>
                <w:rFonts w:ascii="Times New Roman;serif" w:hAnsi="Times New Roman;serif"/>
                <w:b w:val="false"/>
                <w:color w:val="231F20"/>
                <w:sz w:val="16"/>
              </w:rPr>
              <w:t>(form W-8BEN is required)    (country)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78"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1984" w:type="dxa"/>
            <w:gridSpan w:val="15"/>
            <w:tcBorders/>
            <w:tcMar>
              <w:top w:w="0" w:type="dxa"/>
              <w:left w:w="0" w:type="dxa"/>
              <w:bottom w:w="0" w:type="dxa"/>
              <w:right w:w="0" w:type="dxa"/>
            </w:tcMar>
            <w:vAlign w:val="center"/>
          </w:tcPr>
          <w:p>
            <w:pPr>
              <w:pStyle w:val="TableContents"/>
              <w:bidi w:val="0"/>
              <w:spacing w:lineRule="auto" w:line="288" w:before="128" w:after="283"/>
              <w:jc w:val="left"/>
              <w:rPr>
                <w:rFonts w:ascii="Times New Roman;serif" w:hAnsi="Times New Roman;serif"/>
                <w:b w:val="false"/>
                <w:color w:val="231F20"/>
                <w:sz w:val="16"/>
              </w:rPr>
            </w:pPr>
            <w:r>
              <w:rPr>
                <w:rFonts w:ascii="Times New Roman;serif" w:hAnsi="Times New Roman;serif"/>
                <w:b w:val="false"/>
                <w:color w:val="231F20"/>
                <w:sz w:val="16"/>
              </w:rPr>
              <w:t>Trust/Estate/401(k)/Profit-sharing/Other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SSN/Tax ID</w:t>
            </w:r>
          </w:p>
        </w:tc>
        <w:tc>
          <w:tcPr>
            <w:tcW w:w="5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 of formation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(mm/dd/yyyy)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street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(You must include a permanent U.S. street address even if your mailing address is a P.O. Box)</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w:t>
            </w:r>
          </w:p>
        </w:tc>
        <w:tc>
          <w:tcPr>
            <w:tcW w:w="31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(ZIP)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Mailing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(Leave blank if your U.S. street address and mailing address are the same)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w:t>
            </w:r>
          </w:p>
        </w:tc>
        <w:tc>
          <w:tcPr>
            <w:tcW w:w="31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(ZIP)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Trustee/authorized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Trustee/authorized 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(first, middle, last)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(first, middle, last)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SSN</w:t>
            </w:r>
          </w:p>
        </w:tc>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SSN</w:t>
            </w:r>
          </w:p>
        </w:tc>
        <w:tc>
          <w:tcPr>
            <w:tcW w:w="3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(mm/dd/yyyy)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(mm/dd/yyyy)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Phone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street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street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(You must include a permanent U.S. street address even if your mailing address is a P.O.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(You must include a permanent U.S. street address even if your mailing address is a P.O. Box)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 ZIP)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(city, state, ZIP)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cMar>
              <w:top w:w="0" w:type="dxa"/>
              <w:left w:w="0" w:type="dxa"/>
              <w:bottom w:w="0" w:type="dxa"/>
              <w:right w:w="0" w:type="dxa"/>
            </w:tcMar>
            <w:vAlign w:val="center"/>
          </w:tcPr>
          <w:p>
            <w:pPr>
              <w:pStyle w:val="TableContents"/>
              <w:bidi w:val="0"/>
              <w:spacing w:before="68" w:after="283"/>
              <w:jc w:val="left"/>
              <w:rPr/>
            </w:pPr>
            <w:r>
              <w:rPr/>
            </w:r>
          </w:p>
          <w:p>
            <w:pPr>
              <w:pStyle w:val="TableContents"/>
              <w:bidi w:val="0"/>
              <w:spacing w:lineRule="atLeast" w:line="248" w:before="68" w:after="283"/>
              <w:jc w:val="left"/>
              <w:rPr/>
            </w:pPr>
            <w:r>
              <w:rPr>
                <w:rFonts w:ascii="Times New Roman;serif" w:hAnsi="Times New Roman;serif"/>
                <w:b w:val="false"/>
                <w:color w:val="231F20"/>
                <w:sz w:val="16"/>
              </w:rPr>
              <w:t xml:space="preserve">CITIZENSHIP U.S. citizen Resident alien </w:t>
            </w:r>
            <w:r>
              <w:rPr>
                <w:color w:val="231F20"/>
                <w:u w:val="single"/>
              </w:rPr>
              <w:t xml:space="preserve">     </w:t>
            </w:r>
          </w:p>
          <w:p>
            <w:pPr>
              <w:pStyle w:val="TableContents"/>
              <w:bidi w:val="0"/>
              <w:spacing w:lineRule="atLeast" w:line="248" w:before="68" w:after="283"/>
              <w:jc w:val="left"/>
              <w:rPr>
                <w:color w:val="231F20"/>
              </w:rPr>
            </w:pPr>
            <w:r>
              <w:rPr>
                <w:color w:val="231F20"/>
              </w:rPr>
              <w:t>                                                                                     </w:t>
            </w:r>
            <w:r>
              <w:rPr>
                <w:rFonts w:ascii="Times New Roman;serif" w:hAnsi="Times New Roman;serif"/>
                <w:b w:val="false"/>
                <w:color w:val="231F2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before="68" w:after="283"/>
              <w:jc w:val="left"/>
              <w:rPr/>
            </w:pPr>
            <w:r>
              <w:rPr/>
            </w:r>
          </w:p>
          <w:p>
            <w:pPr>
              <w:pStyle w:val="TableContents"/>
              <w:bidi w:val="0"/>
              <w:spacing w:lineRule="atLeast" w:line="248" w:before="68" w:after="283"/>
              <w:jc w:val="left"/>
              <w:rPr/>
            </w:pPr>
            <w:r>
              <w:rPr>
                <w:rFonts w:ascii="Times New Roman;serif" w:hAnsi="Times New Roman;serif"/>
                <w:b w:val="false"/>
                <w:color w:val="231F20"/>
                <w:sz w:val="16"/>
              </w:rPr>
              <w:t xml:space="preserve">CITIZENSHIP U.S. citizen Resident alien </w:t>
            </w:r>
            <w:r>
              <w:rPr>
                <w:color w:val="231F20"/>
                <w:u w:val="single"/>
              </w:rPr>
              <w:t xml:space="preserve">     </w:t>
            </w:r>
          </w:p>
          <w:p>
            <w:pPr>
              <w:pStyle w:val="TableContents"/>
              <w:bidi w:val="0"/>
              <w:spacing w:lineRule="atLeast" w:line="248" w:before="68" w:after="283"/>
              <w:jc w:val="left"/>
              <w:rPr>
                <w:color w:val="231F20"/>
              </w:rPr>
            </w:pPr>
            <w:r>
              <w:rPr>
                <w:color w:val="231F20"/>
              </w:rPr>
              <w:t>                                                                                     </w:t>
            </w:r>
            <w:r>
              <w:rPr>
                <w:rFonts w:ascii="Times New Roman;serif" w:hAnsi="Times New Roman;serif"/>
                <w:b w:val="false"/>
                <w:color w:val="231F20"/>
                <w:sz w:val="16"/>
              </w:rPr>
              <w:t>(country)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6"/>
            <w:tcBorders/>
            <w:tcMar>
              <w:top w:w="0" w:type="dxa"/>
              <w:left w:w="0" w:type="dxa"/>
              <w:bottom w:w="0" w:type="dxa"/>
              <w:right w:w="0" w:type="dxa"/>
            </w:tcMar>
            <w:vAlign w:val="center"/>
          </w:tcPr>
          <w:p>
            <w:pPr>
              <w:pStyle w:val="TableContents"/>
              <w:bidi w:val="0"/>
              <w:spacing w:lineRule="atLeast" w:line="248" w:before="68" w:after="283"/>
              <w:jc w:val="left"/>
              <w:rPr>
                <w:color w:val="231F20"/>
              </w:rPr>
            </w:pPr>
            <w:r>
              <w:rPr>
                <w:color w:val="231F20"/>
              </w:rPr>
              <w:t>   </w:t>
            </w:r>
          </w:p>
          <w:p>
            <w:pPr>
              <w:pStyle w:val="TableContents"/>
              <w:bidi w:val="0"/>
              <w:spacing w:lineRule="atLeast" w:line="220" w:before="45" w:after="283"/>
              <w:ind w:left="0" w:right="0" w:hanging="220"/>
              <w:jc w:val="left"/>
              <w:rPr/>
            </w:pPr>
            <w:r>
              <w:rPr>
                <w:rFonts w:ascii="Times New Roman;serif" w:hAnsi="Times New Roman;serif"/>
                <w:b w:val="false"/>
                <w:color w:val="231F20"/>
                <w:sz w:val="16"/>
              </w:rPr>
              <w:t xml:space="preserve">Non-resident alien </w:t>
            </w:r>
            <w:r>
              <w:rPr>
                <w:color w:val="231F20"/>
                <w:u w:val="single"/>
              </w:rPr>
              <w:t xml:space="preserve">     </w:t>
            </w:r>
          </w:p>
          <w:p>
            <w:pPr>
              <w:pStyle w:val="TableContents"/>
              <w:bidi w:val="0"/>
              <w:spacing w:lineRule="atLeast" w:line="142" w:before="0" w:after="0"/>
              <w:jc w:val="left"/>
              <w:rPr>
                <w:rFonts w:ascii="Times New Roman;serif" w:hAnsi="Times New Roman;serif"/>
                <w:b w:val="false"/>
                <w:color w:val="231F20"/>
                <w:sz w:val="16"/>
              </w:rPr>
            </w:pPr>
            <w:r>
              <w:rPr>
                <w:rFonts w:ascii="Times New Roman;serif" w:hAnsi="Times New Roman;serif"/>
                <w:b w:val="false"/>
                <w:color w:val="231F20"/>
                <w:sz w:val="16"/>
              </w:rPr>
              <w:t>(form W-8BEN is required)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6"/>
            <w:tcBorders/>
            <w:tcMar>
              <w:top w:w="0" w:type="dxa"/>
              <w:left w:w="0" w:type="dxa"/>
              <w:bottom w:w="0" w:type="dxa"/>
              <w:right w:w="0" w:type="dxa"/>
            </w:tcMar>
            <w:vAlign w:val="center"/>
          </w:tcPr>
          <w:p>
            <w:pPr>
              <w:pStyle w:val="TableContents"/>
              <w:bidi w:val="0"/>
              <w:spacing w:lineRule="atLeast" w:line="248" w:before="68" w:after="283"/>
              <w:jc w:val="left"/>
              <w:rPr>
                <w:color w:val="231F20"/>
              </w:rPr>
            </w:pPr>
            <w:r>
              <w:rPr>
                <w:color w:val="231F20"/>
              </w:rPr>
              <w:t>   </w:t>
            </w:r>
          </w:p>
          <w:p>
            <w:pPr>
              <w:pStyle w:val="TableContents"/>
              <w:bidi w:val="0"/>
              <w:spacing w:lineRule="atLeast" w:line="220" w:before="45" w:after="283"/>
              <w:ind w:left="0" w:right="0" w:hanging="220"/>
              <w:jc w:val="left"/>
              <w:rPr/>
            </w:pPr>
            <w:r>
              <w:rPr>
                <w:rFonts w:ascii="Times New Roman;serif" w:hAnsi="Times New Roman;serif"/>
                <w:b w:val="false"/>
                <w:color w:val="231F20"/>
                <w:sz w:val="16"/>
              </w:rPr>
              <w:t xml:space="preserve">Non-resident alien </w:t>
            </w:r>
            <w:r>
              <w:rPr>
                <w:color w:val="231F20"/>
                <w:u w:val="single"/>
              </w:rPr>
              <w:t xml:space="preserve">     </w:t>
            </w:r>
          </w:p>
          <w:p>
            <w:pPr>
              <w:pStyle w:val="TableContents"/>
              <w:bidi w:val="0"/>
              <w:spacing w:lineRule="atLeast" w:line="142" w:before="0" w:after="0"/>
              <w:jc w:val="left"/>
              <w:rPr>
                <w:rFonts w:ascii="Times New Roman;serif" w:hAnsi="Times New Roman;serif"/>
                <w:b w:val="false"/>
                <w:color w:val="231F20"/>
                <w:sz w:val="16"/>
              </w:rPr>
            </w:pPr>
            <w:r>
              <w:rPr>
                <w:rFonts w:ascii="Times New Roman;serif" w:hAnsi="Times New Roman;serif"/>
                <w:b w:val="false"/>
                <w:color w:val="231F20"/>
                <w:sz w:val="16"/>
              </w:rPr>
              <w:t>(form W-8BEN is required)    (country)</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7170"/>
                <wp:effectExtent l="0" t="0" r="0" b="0"/>
                <wp:wrapNone/>
                <wp:docPr id="10" name="Frame7"/>
                <a:graphic xmlns:a="http://schemas.openxmlformats.org/drawingml/2006/main">
                  <a:graphicData uri="http://schemas.microsoft.com/office/word/2010/wordprocessingShape">
                    <wps:wsp>
                      <wps:cNvSpPr txBox="1"/>
                      <wps:spPr>
                        <a:xfrm>
                          <a:off x="0" y="0"/>
                          <a:ext cx="6480175" cy="217170"/>
                        </a:xfrm>
                        <a:prstGeom prst="rect"/>
                        <a:solidFill>
                          <a:srgbClr val="FFFFFF"/>
                        </a:solidFill>
                      </wps:spPr>
                      <wps:txbx>
                        <w:txbxContent>
                          <w:p>
                            <w:pPr>
                              <w:pStyle w:val="TextBody"/>
                              <w:bidi w:val="0"/>
                              <w:spacing w:before="66"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6" w:after="283"/>
                        <w:jc w:val="right"/>
                        <w:rPr/>
                      </w:pPr>
                      <w:r>
                        <w:rPr/>
                      </w:r>
                    </w:p>
                  </w:txbxContent>
                </v:textbox>
                <w10:wrap type="none"/>
              </v:rect>
            </w:pict>
          </mc:Fallback>
        </mc:AlternateContent>
      </w:r>
    </w:p>
    <w:tbl>
      <w:tblPr>
        <w:tblW w:w="8400" w:type="dxa"/>
        <w:jc w:val="left"/>
        <w:tblInd w:w="0" w:type="dxa"/>
        <w:tblLayout w:type="fixed"/>
        <w:tblCellMar>
          <w:top w:w="28" w:type="dxa"/>
          <w:left w:w="28" w:type="dxa"/>
          <w:bottom w:w="28" w:type="dxa"/>
          <w:right w:w="28" w:type="dxa"/>
        </w:tblCellMar>
      </w:tblPr>
      <w:tblGrid>
        <w:gridCol w:w="2690"/>
        <w:gridCol w:w="2360"/>
        <w:gridCol w:w="3350"/>
      </w:tblGrid>
      <w:tr>
        <w:trPr/>
        <w:tc>
          <w:tcPr>
            <w:tcW w:w="26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8400" w:type="dxa"/>
            <w:gridSpan w:val="3"/>
            <w:tcBorders/>
            <w:tcMar>
              <w:top w:w="0" w:type="dxa"/>
              <w:left w:w="0" w:type="dxa"/>
              <w:bottom w:w="0" w:type="dxa"/>
              <w:right w:w="0" w:type="dxa"/>
            </w:tcMar>
            <w:vAlign w:val="center"/>
          </w:tcPr>
          <w:p>
            <w:pPr>
              <w:pStyle w:val="TableContents"/>
              <w:bidi w:val="0"/>
              <w:spacing w:lineRule="auto" w:line="288" w:before="51" w:after="283"/>
              <w:jc w:val="left"/>
              <w:rPr>
                <w:rFonts w:ascii="Times New Roman;serif" w:hAnsi="Times New Roman;serif"/>
                <w:b w:val="false"/>
                <w:color w:val="231F20"/>
                <w:sz w:val="16"/>
              </w:rPr>
            </w:pPr>
            <w:r>
              <w:rPr>
                <w:rFonts w:ascii="Times New Roman;serif" w:hAnsi="Times New Roman;serif"/>
                <w:b w:val="false"/>
                <w:color w:val="231F20"/>
                <w:sz w:val="16"/>
              </w:rPr>
              <w:t>FS Credit Real Estate Income Trust, Inc. – Subscription Agreement | Class D, Class I, Class M, Class S and Class T V6.3</w:t>
            </w:r>
          </w:p>
        </w:tc>
      </w:tr>
    </w:tbl>
    <w:p>
      <w:pPr>
        <w:pStyle w:val="TextBody"/>
        <w:bidi w:val="0"/>
        <w:spacing w:before="6"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7"/>
        <w:gridCol w:w="794"/>
        <w:gridCol w:w="794"/>
        <w:gridCol w:w="794"/>
        <w:gridCol w:w="794"/>
        <w:gridCol w:w="794"/>
        <w:gridCol w:w="880"/>
        <w:gridCol w:w="794"/>
        <w:gridCol w:w="794"/>
        <w:gridCol w:w="794"/>
        <w:gridCol w:w="794"/>
        <w:gridCol w:w="812"/>
        <w:gridCol w:w="109"/>
        <w:gridCol w:w="109"/>
        <w:gridCol w:w="162"/>
      </w:tblGrid>
      <w:tr>
        <w:trPr/>
        <w:tc>
          <w:tcPr>
            <w:tcW w:w="9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12"/>
            <w:tcBorders/>
            <w:shd w:fill="231F20" w:val="clear"/>
            <w:tcMar>
              <w:top w:w="0" w:type="dxa"/>
              <w:left w:w="0" w:type="dxa"/>
              <w:bottom w:w="0" w:type="dxa"/>
              <w:right w:w="0" w:type="dxa"/>
            </w:tcMar>
            <w:vAlign w:val="center"/>
          </w:tcPr>
          <w:p>
            <w:pPr>
              <w:pStyle w:val="TableContents"/>
              <w:bidi w:val="0"/>
              <w:spacing w:lineRule="auto" w:line="288" w:before="5" w:after="283"/>
              <w:jc w:val="left"/>
              <w:rPr/>
            </w:pPr>
            <w:r>
              <w:rPr>
                <w:color w:val="FFFFFF"/>
              </w:rPr>
              <w:t> </w:t>
            </w:r>
            <w:r>
              <w:rPr>
                <w:rFonts w:ascii="Times New Roman;serif" w:hAnsi="Times New Roman;serif"/>
                <w:b w:val="false"/>
                <w:color w:val="FFFFFF"/>
                <w:sz w:val="22"/>
                <w:shd w:fill="231F20" w:val="clear"/>
              </w:rPr>
              <w:t>6</w:t>
            </w:r>
            <w:r>
              <w:rPr>
                <w:color w:val="FFFFFF"/>
              </w:rPr>
              <w:t xml:space="preserve"> </w:t>
            </w:r>
            <w:r>
              <w:rPr>
                <w:rFonts w:ascii="Times New Roman;serif" w:hAnsi="Times New Roman;serif"/>
                <w:b w:val="false"/>
                <w:color w:val="FFFFFF"/>
                <w:sz w:val="22"/>
                <w:shd w:fill="231F20" w:val="clear"/>
              </w:rPr>
              <w:t>Electronic</w:t>
            </w:r>
            <w:r>
              <w:rPr>
                <w:color w:val="FFFFFF"/>
              </w:rPr>
              <w:t xml:space="preserve"> </w:t>
            </w:r>
            <w:r>
              <w:rPr>
                <w:rFonts w:ascii="Times New Roman;serif" w:hAnsi="Times New Roman;serif"/>
                <w:b w:val="false"/>
                <w:color w:val="FFFFFF"/>
                <w:sz w:val="22"/>
                <w:shd w:fill="231F20" w:val="clear"/>
              </w:rPr>
              <w:t>communications</w:t>
            </w:r>
            <w:r>
              <w:rPr>
                <w:color w:val="FFFFFF"/>
              </w:rPr>
              <w:t xml:space="preserve"> </w:t>
            </w:r>
            <w:r>
              <w:rPr>
                <w:rFonts w:ascii="Times New Roman;serif" w:hAnsi="Times New Roman;serif"/>
                <w:b w:val="false"/>
                <w:color w:val="FFFFFF"/>
                <w:sz w:val="18"/>
                <w:shd w:fill="231F20" w:val="clear"/>
              </w:rPr>
              <w:t>Initial</w:t>
            </w:r>
            <w:r>
              <w:rPr>
                <w:color w:val="FFFFFF"/>
              </w:rPr>
              <w:t xml:space="preserve"> </w:t>
            </w:r>
            <w:r>
              <w:rPr>
                <w:rFonts w:ascii="Times New Roman;serif" w:hAnsi="Times New Roman;serif"/>
                <w:b w:val="false"/>
                <w:color w:val="FFFFFF"/>
                <w:sz w:val="18"/>
                <w:shd w:fill="231F20" w:val="clear"/>
              </w:rPr>
              <w:t>and</w:t>
            </w:r>
            <w:r>
              <w:rPr>
                <w:color w:val="FFFFFF"/>
              </w:rPr>
              <w:t xml:space="preserve"> </w:t>
            </w:r>
            <w:r>
              <w:rPr>
                <w:rFonts w:ascii="Times New Roman;serif" w:hAnsi="Times New Roman;serif"/>
                <w:b w:val="false"/>
                <w:color w:val="FFFFFF"/>
                <w:sz w:val="18"/>
                <w:shd w:fill="231F20" w:val="clear"/>
              </w:rPr>
              <w:t>provide</w:t>
            </w:r>
            <w:r>
              <w:rPr>
                <w:color w:val="FFFFFF"/>
              </w:rPr>
              <w:t xml:space="preserve"> </w:t>
            </w:r>
            <w:r>
              <w:rPr>
                <w:rFonts w:ascii="Times New Roman;serif" w:hAnsi="Times New Roman;serif"/>
                <w:b w:val="false"/>
                <w:color w:val="FFFFFF"/>
                <w:sz w:val="18"/>
                <w:shd w:fill="231F20" w:val="clear"/>
              </w:rPr>
              <w:t>email</w:t>
            </w:r>
            <w:r>
              <w:rPr>
                <w:color w:val="FFFFFF"/>
              </w:rPr>
              <w:t xml:space="preserve"> </w:t>
            </w:r>
            <w:r>
              <w:rPr>
                <w:rFonts w:ascii="Times New Roman;serif" w:hAnsi="Times New Roman;serif"/>
                <w:b w:val="false"/>
                <w:color w:val="FFFFFF"/>
                <w:sz w:val="18"/>
                <w:shd w:fill="231F20" w:val="clear"/>
              </w:rPr>
              <w:t>if</w:t>
            </w:r>
            <w:r>
              <w:rPr>
                <w:color w:val="FFFFFF"/>
              </w:rPr>
              <w:t xml:space="preserve"> </w:t>
            </w:r>
            <w:r>
              <w:rPr>
                <w:rFonts w:ascii="Times New Roman;serif" w:hAnsi="Times New Roman;serif"/>
                <w:b w:val="false"/>
                <w:color w:val="FFFFFF"/>
                <w:sz w:val="18"/>
                <w:shd w:fill="231F20" w:val="clear"/>
              </w:rPr>
              <w:t>you</w:t>
            </w:r>
            <w:r>
              <w:rPr>
                <w:color w:val="FFFFFF"/>
              </w:rPr>
              <w:t xml:space="preserve"> </w:t>
            </w:r>
            <w:r>
              <w:rPr>
                <w:rFonts w:ascii="Times New Roman;serif" w:hAnsi="Times New Roman;serif"/>
                <w:b w:val="false"/>
                <w:color w:val="FFFFFF"/>
                <w:sz w:val="18"/>
                <w:shd w:fill="231F20" w:val="clear"/>
              </w:rPr>
              <w:t>wish</w:t>
            </w:r>
            <w:r>
              <w:rPr>
                <w:color w:val="FFFFFF"/>
              </w:rPr>
              <w:t xml:space="preserve"> </w:t>
            </w:r>
            <w:r>
              <w:rPr>
                <w:rFonts w:ascii="Times New Roman;serif" w:hAnsi="Times New Roman;serif"/>
                <w:b w:val="false"/>
                <w:color w:val="FFFFFF"/>
                <w:sz w:val="18"/>
                <w:shd w:fill="231F20" w:val="clear"/>
              </w:rPr>
              <w:t>to</w:t>
            </w:r>
            <w:r>
              <w:rPr>
                <w:color w:val="FFFFFF"/>
              </w:rPr>
              <w:t xml:space="preserve"> </w:t>
            </w:r>
            <w:r>
              <w:rPr>
                <w:rFonts w:ascii="Times New Roman;serif" w:hAnsi="Times New Roman;serif"/>
                <w:b w:val="false"/>
                <w:color w:val="FFFFFF"/>
                <w:sz w:val="18"/>
                <w:shd w:fill="231F20" w:val="clear"/>
              </w:rPr>
              <w:t>enroll</w:t>
            </w:r>
            <w:r>
              <w:rPr>
                <w:color w:val="FFFFFF"/>
              </w:rPr>
              <w:t xml:space="preserve"> </w:t>
            </w:r>
            <w:r>
              <w:rPr>
                <w:rFonts w:ascii="Times New Roman;serif" w:hAnsi="Times New Roman;serif"/>
                <w:b w:val="false"/>
                <w:color w:val="FFFFFF"/>
                <w:sz w:val="18"/>
                <w:shd w:fill="231F20" w:val="clear"/>
              </w:rPr>
              <w:t>in</w:t>
            </w:r>
            <w:r>
              <w:rPr>
                <w:color w:val="FFFFFF"/>
              </w:rPr>
              <w:t xml:space="preserve"> </w:t>
            </w:r>
            <w:r>
              <w:rPr>
                <w:rFonts w:ascii="Times New Roman;serif" w:hAnsi="Times New Roman;serif"/>
                <w:b w:val="false"/>
                <w:color w:val="FFFFFF"/>
                <w:sz w:val="18"/>
                <w:shd w:fill="231F20" w:val="clear"/>
              </w:rPr>
              <w:t>paperless</w:t>
            </w:r>
            <w:r>
              <w:rPr>
                <w:color w:val="FFFFFF"/>
              </w:rPr>
              <w:t xml:space="preserve"> </w:t>
            </w:r>
            <w:r>
              <w:rPr>
                <w:rFonts w:ascii="Times New Roman;serif" w:hAnsi="Times New Roman;serif"/>
                <w:b w:val="false"/>
                <w:color w:val="FFFFFF"/>
                <w:sz w:val="18"/>
                <w:shd w:fill="231F20" w:val="clear"/>
              </w:rPr>
              <w:t>e-delivery.</w:t>
            </w:r>
            <w:r>
              <w:rPr>
                <w:color w:val="FFFFFF"/>
              </w:rPr>
              <w:t>    </w:t>
            </w:r>
          </w:p>
        </w:tc>
        <w:tc>
          <w:tcPr>
            <w:tcW w:w="380"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Initial</w:t>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Email</w:t>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2"/>
            <w:tcBorders/>
            <w:tcMar>
              <w:top w:w="0" w:type="dxa"/>
              <w:left w:w="0" w:type="dxa"/>
              <w:bottom w:w="0" w:type="dxa"/>
              <w:right w:w="0" w:type="dxa"/>
            </w:tcMar>
            <w:vAlign w:val="center"/>
          </w:tcPr>
          <w:p>
            <w:pPr>
              <w:pStyle w:val="TableContents"/>
              <w:bidi w:val="0"/>
              <w:spacing w:lineRule="auto" w:line="302" w:before="120" w:after="283"/>
              <w:jc w:val="left"/>
              <w:rPr/>
            </w:pPr>
            <w:r>
              <w:rPr>
                <w:rFonts w:ascii="Times New Roman;serif" w:hAnsi="Times New Roman;serif"/>
                <w:b w:val="false"/>
                <w:color w:val="231F20"/>
                <w:sz w:val="12"/>
              </w:rPr>
              <w:t xml:space="preserve">By initialing above, the investor requests to receive all shareholder communications electronically for all investment products or share classes sponsored by Future Standard or its affiliates. Communications include, but are not limited to, account statements, investor communications, annual, semi-annual and/or quarterly reports, tax forms, proxy materials and other required reports. The investor may request a paper copy of a shareholder communication, update an email address or change this election at any time by contacting Future Standard. Changes may take up to 30 days to take effect. Consent to electronic delivery is terminated by an invalid email address. Costs associated with accessing the internet may be incurred and certain software may need to be downloaded in order to view the materials delivered electronically. Timely access to materials may not be available in the event of a system failure or network outage. This electronic delivery program may be changed or discontinued and the terms may be amended at any time. </w:t>
            </w:r>
            <w:r>
              <w:rPr>
                <w:rFonts w:ascii="Times New Roman;serif" w:hAnsi="Times New Roman;serif"/>
                <w:b w:val="false"/>
                <w:color w:val="231F20"/>
                <w:sz w:val="12"/>
              </w:rPr>
              <w:t>In the event of discontinuation or as required by law, the investor will receive paper copies of all shareholder communications.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59" w:after="283"/>
        <w:jc w:val="left"/>
        <w:rPr/>
      </w:pPr>
      <w:r>
        <w:rPr/>
      </w:r>
    </w:p>
    <w:p>
      <w:pPr>
        <w:pStyle w:val="TextBody"/>
        <w:bidi w:val="0"/>
        <w:spacing w:before="3" w:after="283"/>
        <w:jc w:val="left"/>
        <w:rPr/>
      </w:pPr>
      <w:r>
        <w:rPr/>
      </w:r>
    </w:p>
    <w:tbl>
      <w:tblPr>
        <w:tblW w:w="10205" w:type="dxa"/>
        <w:jc w:val="left"/>
        <w:tblInd w:w="0" w:type="dxa"/>
        <w:tblLayout w:type="fixed"/>
        <w:tblCellMar>
          <w:top w:w="28" w:type="dxa"/>
          <w:left w:w="28" w:type="dxa"/>
          <w:bottom w:w="28" w:type="dxa"/>
          <w:right w:w="28" w:type="dxa"/>
        </w:tblCellMar>
      </w:tblPr>
      <w:tblGrid>
        <w:gridCol w:w="2139"/>
        <w:gridCol w:w="1884"/>
        <w:gridCol w:w="1888"/>
        <w:gridCol w:w="427"/>
        <w:gridCol w:w="427"/>
        <w:gridCol w:w="427"/>
        <w:gridCol w:w="492"/>
        <w:gridCol w:w="427"/>
        <w:gridCol w:w="427"/>
        <w:gridCol w:w="655"/>
        <w:gridCol w:w="427"/>
        <w:gridCol w:w="427"/>
        <w:gridCol w:w="158"/>
      </w:tblGrid>
      <w:tr>
        <w:trPr/>
        <w:tc>
          <w:tcPr>
            <w:tcW w:w="213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5911" w:type="dxa"/>
            <w:gridSpan w:val="3"/>
            <w:tcBorders/>
            <w:shd w:fill="231F20" w:val="clear"/>
            <w:tcMar>
              <w:top w:w="0" w:type="dxa"/>
              <w:left w:w="0" w:type="dxa"/>
              <w:bottom w:w="0" w:type="dxa"/>
              <w:right w:w="0" w:type="dxa"/>
            </w:tcMar>
            <w:vAlign w:val="center"/>
          </w:tcPr>
          <w:p>
            <w:pPr>
              <w:pStyle w:val="TableContents"/>
              <w:bidi w:val="0"/>
              <w:spacing w:lineRule="atLeast" w:line="336" w:before="5" w:after="283"/>
              <w:jc w:val="left"/>
              <w:rPr>
                <w:color w:val="FFFFFF"/>
              </w:rPr>
            </w:pPr>
            <w:r>
              <w:rPr>
                <w:color w:val="FFFFFF"/>
              </w:rPr>
              <w:t> </w:t>
            </w:r>
            <w:r>
              <w:rPr>
                <w:rFonts w:ascii="Times New Roman;serif" w:hAnsi="Times New Roman;serif"/>
                <w:b w:val="false"/>
                <w:color w:val="FFFFFF"/>
                <w:sz w:val="22"/>
              </w:rPr>
              <w:t>7 Distributions</w:t>
            </w:r>
          </w:p>
        </w:tc>
        <w:tc>
          <w:tcPr>
            <w:tcW w:w="1281"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vMerge w:val="restart"/>
            <w:tcBorders/>
            <w:tcMar>
              <w:top w:w="0" w:type="dxa"/>
              <w:left w:w="0" w:type="dxa"/>
              <w:bottom w:w="0" w:type="dxa"/>
              <w:right w:w="0" w:type="dxa"/>
            </w:tcMar>
            <w:vAlign w:val="center"/>
          </w:tcPr>
          <w:p>
            <w:pPr>
              <w:pStyle w:val="TableContents"/>
              <w:bidi w:val="0"/>
              <w:spacing w:lineRule="auto" w:line="268" w:before="117" w:after="283"/>
              <w:jc w:val="left"/>
              <w:rPr/>
            </w:pPr>
            <w:r>
              <w:rPr>
                <w:rFonts w:ascii="Times New Roman;serif" w:hAnsi="Times New Roman;serif"/>
                <w:b w:val="false"/>
                <w:color w:val="231F20"/>
                <w:sz w:val="14"/>
              </w:rPr>
              <w:t>If this election is not completed, the Company will default to sending the investor’s cash distributions out by check to his or her address of record provided in section 5 or to the custodian indicated in section 4, as applicable.</w:t>
            </w:r>
            <w:r>
              <w:rPr>
                <w:color w:val="231F20"/>
              </w:rPr>
              <w:t xml:space="preserve"> </w:t>
            </w:r>
            <w:r>
              <w:rPr>
                <w:rFonts w:ascii="Times New Roman;serif" w:hAnsi="Times New Roman;serif"/>
                <w:b/>
                <w:color w:val="231F20"/>
                <w:sz w:val="14"/>
              </w:rPr>
              <w:t>I (We) acknowledge that distributions may be funded from offering proceeds or borrowings, which may constitute a return of capital and reduce the amount of capital available to the Company for investment. Any capital returned to stockholders through distributions will be made after payment of fees and expenses, as well as any sales load.</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88" w:before="59" w:after="283"/>
              <w:jc w:val="left"/>
              <w:rPr>
                <w:rFonts w:ascii="Times New Roman;serif" w:hAnsi="Times New Roman;serif"/>
                <w:b/>
                <w:color w:val="231F20"/>
                <w:sz w:val="18"/>
              </w:rPr>
            </w:pPr>
            <w:r>
              <w:rPr>
                <w:rFonts w:ascii="Times New Roman;serif" w:hAnsi="Times New Roman;serif"/>
                <w:b/>
                <w:color w:val="231F20"/>
                <w:sz w:val="18"/>
              </w:rPr>
              <w:t>PLEASE SELECT ONE OF THE FOLLOWING OPTIONS/PAYMENT METHODS:</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color w:val="231F20"/>
                <w:sz w:val="18"/>
              </w:rPr>
            </w:pPr>
            <w:r>
              <w:rPr>
                <w:rFonts w:ascii="Times New Roman;serif" w:hAnsi="Times New Roman;serif"/>
                <w:b/>
                <w:color w:val="231F20"/>
                <w:sz w:val="18"/>
              </w:rPr>
              <w:t>Payment by check or electronic deposit</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25" w:before="40" w:after="283"/>
              <w:jc w:val="left"/>
              <w:rPr>
                <w:rFonts w:ascii="Times New Roman;serif" w:hAnsi="Times New Roman;serif"/>
                <w:b w:val="false"/>
                <w:color w:val="231F20"/>
                <w:sz w:val="16"/>
              </w:rPr>
            </w:pPr>
            <w:r>
              <w:rPr>
                <w:rFonts w:ascii="Times New Roman;serif" w:hAnsi="Times New Roman;serif"/>
                <w:b w:val="false"/>
                <w:color w:val="231F20"/>
                <w:sz w:val="16"/>
              </w:rPr>
              <w:t>I (We) choose NOT to participate in the distribution reinvestment plan(s), and instead choose to have distributions paid using the payment method selected below. If no payment method is selected, the Company will mail a check to the address or custodian of record.</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88" w:before="98" w:after="283"/>
              <w:jc w:val="left"/>
              <w:rPr>
                <w:rFonts w:ascii="Times New Roman;serif" w:hAnsi="Times New Roman;serif"/>
                <w:b w:val="false"/>
                <w:color w:val="231F20"/>
                <w:sz w:val="16"/>
              </w:rPr>
            </w:pPr>
            <w:r>
              <w:rPr>
                <w:rFonts w:ascii="Times New Roman;serif" w:hAnsi="Times New Roman;serif"/>
                <w:b w:val="false"/>
                <w:color w:val="231F20"/>
                <w:sz w:val="16"/>
              </w:rPr>
              <w:t>I (We) choose to have distributions sent to me (us) at the following address:</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tLeast" w:line="240" w:before="0" w:after="0"/>
              <w:ind w:left="0" w:right="0" w:hanging="220"/>
              <w:jc w:val="left"/>
              <w:rPr/>
            </w:pPr>
            <w:r>
              <w:rPr>
                <w:rFonts w:ascii="Times New Roman;serif" w:hAnsi="Times New Roman;serif"/>
                <w:b w:val="false"/>
                <w:color w:val="231F20"/>
                <w:sz w:val="16"/>
              </w:rPr>
              <w:t xml:space="preserve">Mail check to address of record. For </w:t>
            </w:r>
            <w:r>
              <w:rPr>
                <w:rFonts w:ascii="Times New Roman;serif" w:hAnsi="Times New Roman;serif"/>
                <w:b/>
                <w:color w:val="231F20"/>
                <w:sz w:val="16"/>
              </w:rPr>
              <w:t>custodial accounts</w:t>
            </w:r>
            <w:r>
              <w:rPr>
                <w:rFonts w:ascii="Times New Roman;serif" w:hAnsi="Times New Roman;serif"/>
                <w:b w:val="false"/>
                <w:color w:val="231F20"/>
                <w:sz w:val="16"/>
              </w:rPr>
              <w:t>, funds will be sent to the custodian of record.</w:t>
            </w:r>
          </w:p>
        </w:tc>
        <w:tc>
          <w:tcPr>
            <w:tcW w:w="158" w:type="dxa"/>
            <w:tcBorders/>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tLeast" w:line="237" w:before="39" w:after="283"/>
              <w:ind w:left="0" w:right="0" w:hanging="220"/>
              <w:jc w:val="left"/>
              <w:rPr/>
            </w:pPr>
            <w:r>
              <w:rPr>
                <w:rFonts w:ascii="Times New Roman;serif" w:hAnsi="Times New Roman;serif"/>
                <w:b w:val="false"/>
                <w:color w:val="231F20"/>
                <w:sz w:val="16"/>
              </w:rPr>
              <w:t xml:space="preserve">Mail check to the following </w:t>
            </w:r>
            <w:r>
              <w:rPr>
                <w:rFonts w:ascii="Times New Roman;serif" w:hAnsi="Times New Roman;serif"/>
                <w:b/>
                <w:color w:val="231F20"/>
                <w:sz w:val="16"/>
              </w:rPr>
              <w:t>third party:</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tLeast" w:line="150" w:before="57" w:after="283"/>
              <w:jc w:val="left"/>
              <w:rPr>
                <w:rFonts w:ascii="Times New Roman;serif" w:hAnsi="Times New Roman;serif"/>
                <w:b w:val="false"/>
                <w:color w:val="231F20"/>
                <w:sz w:val="15"/>
              </w:rPr>
            </w:pPr>
            <w:r>
              <w:rPr>
                <w:rFonts w:ascii="Times New Roman;serif" w:hAnsi="Times New Roman;serif"/>
                <w:b w:val="false"/>
                <w:color w:val="231F20"/>
                <w:sz w:val="15"/>
              </w:rPr>
              <w:t>Name of financial institution</w:t>
            </w:r>
          </w:p>
        </w:tc>
        <w:tc>
          <w:tcPr>
            <w:tcW w:w="1281"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2" w:space="0" w:color="000000"/>
            </w:tcBorders>
            <w:tcMar>
              <w:top w:w="0" w:type="dxa"/>
              <w:left w:w="0" w:type="dxa"/>
              <w:bottom w:w="30" w:type="dxa"/>
              <w:right w:w="0" w:type="dxa"/>
            </w:tcMar>
            <w:vAlign w:val="center"/>
          </w:tcPr>
          <w:p>
            <w:pPr>
              <w:pStyle w:val="TableContents"/>
              <w:bidi w:val="0"/>
              <w:spacing w:lineRule="atLeast" w:line="150" w:before="57" w:after="283"/>
              <w:jc w:val="left"/>
              <w:rPr>
                <w:rFonts w:ascii="Times New Roman;serif" w:hAnsi="Times New Roman;serif"/>
                <w:b w:val="false"/>
                <w:color w:val="231F20"/>
                <w:sz w:val="15"/>
              </w:rPr>
            </w:pPr>
            <w:r>
              <w:rPr>
                <w:rFonts w:ascii="Times New Roman;serif" w:hAnsi="Times New Roman;serif"/>
                <w:b w:val="false"/>
                <w:color w:val="231F20"/>
                <w:sz w:val="15"/>
              </w:rPr>
              <w:t>FBO</w:t>
            </w:r>
          </w:p>
        </w:tc>
        <w:tc>
          <w:tcPr>
            <w:tcW w:w="1509" w:type="dxa"/>
            <w:gridSpan w:val="3"/>
            <w:tcBorders>
              <w:bottom w:val="single" w:sz="2" w:space="0" w:color="000000"/>
            </w:tcBorders>
            <w:tcMar>
              <w:top w:w="0" w:type="dxa"/>
              <w:left w:w="0" w:type="dxa"/>
              <w:bottom w:w="30" w:type="dxa"/>
              <w:right w:w="0" w:type="dxa"/>
            </w:tcMar>
            <w:vAlign w:val="center"/>
          </w:tcPr>
          <w:p>
            <w:pPr>
              <w:pStyle w:val="TableContents"/>
              <w:bidi w:val="0"/>
              <w:spacing w:lineRule="atLeast" w:line="150" w:before="57" w:after="283"/>
              <w:jc w:val="left"/>
              <w:rPr>
                <w:rFonts w:ascii="Times New Roman;serif" w:hAnsi="Times New Roman;serif"/>
                <w:b w:val="false"/>
                <w:color w:val="231F20"/>
                <w:sz w:val="15"/>
              </w:rPr>
            </w:pPr>
            <w:r>
              <w:rPr>
                <w:rFonts w:ascii="Times New Roman;serif" w:hAnsi="Times New Roman;serif"/>
                <w:b w:val="false"/>
                <w:color w:val="231F20"/>
                <w:sz w:val="15"/>
              </w:rPr>
              <w:t>Account #</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tcBorders>
              <w:top w:val="single" w:sz="2" w:space="0" w:color="000000"/>
            </w:tcBorders>
            <w:tcMar>
              <w:top w:w="30" w:type="dxa"/>
              <w:left w:w="0" w:type="dxa"/>
              <w:bottom w:w="0" w:type="dxa"/>
              <w:right w:w="0" w:type="dxa"/>
            </w:tcMar>
            <w:vAlign w:val="center"/>
          </w:tcPr>
          <w:p>
            <w:pPr>
              <w:pStyle w:val="TableContents"/>
              <w:bidi w:val="0"/>
              <w:spacing w:lineRule="atLeast" w:line="152" w:before="113" w:after="283"/>
              <w:jc w:val="left"/>
              <w:rPr>
                <w:rFonts w:ascii="Times New Roman;serif" w:hAnsi="Times New Roman;serif"/>
                <w:b w:val="false"/>
                <w:color w:val="231F20"/>
                <w:sz w:val="15"/>
              </w:rPr>
            </w:pPr>
            <w:r>
              <w:rPr>
                <w:rFonts w:ascii="Times New Roman;serif" w:hAnsi="Times New Roman;serif"/>
                <w:b w:val="false"/>
                <w:color w:val="231F20"/>
                <w:sz w:val="15"/>
              </w:rPr>
              <w:t>Mailing address</w:t>
            </w:r>
          </w:p>
        </w:tc>
        <w:tc>
          <w:tcPr>
            <w:tcW w:w="158" w:type="dxa"/>
            <w:tcBorders/>
          </w:tcPr>
          <w:p>
            <w:pPr>
              <w:pStyle w:val="TableContents"/>
              <w:bidi w:val="0"/>
              <w:spacing w:before="0" w:after="283"/>
              <w:jc w:val="left"/>
              <w:rPr>
                <w:sz w:val="4"/>
                <w:szCs w:val="4"/>
              </w:rPr>
            </w:pPr>
            <w:r>
              <w:rPr>
                <w:sz w:val="4"/>
                <w:szCs w:val="4"/>
              </w:rPr>
            </w:r>
          </w:p>
        </w:tc>
      </w:tr>
      <w:tr>
        <w:trPr/>
        <w:tc>
          <w:tcPr>
            <w:tcW w:w="59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2"/>
              </w:rPr>
            </w:pPr>
            <w:r>
              <w:rPr>
                <w:rFonts w:ascii="Times New Roman;serif" w:hAnsi="Times New Roman;serif"/>
                <w:b w:val="false"/>
                <w:color w:val="231F20"/>
                <w:sz w:val="12"/>
              </w:rPr>
              <w:t>(street)</w:t>
            </w:r>
          </w:p>
        </w:tc>
        <w:tc>
          <w:tcPr>
            <w:tcW w:w="12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8" w:after="283"/>
              <w:jc w:val="left"/>
              <w:rPr>
                <w:rFonts w:ascii="Times New Roman;serif" w:hAnsi="Times New Roman;serif"/>
                <w:b w:val="false"/>
                <w:color w:val="231F20"/>
                <w:sz w:val="12"/>
              </w:rPr>
            </w:pPr>
            <w:r>
              <w:rPr>
                <w:rFonts w:ascii="Times New Roman;serif" w:hAnsi="Times New Roman;serif"/>
                <w:b w:val="false"/>
                <w:color w:val="231F20"/>
                <w:sz w:val="12"/>
              </w:rPr>
              <w:t>(city, state)</w:t>
            </w:r>
          </w:p>
        </w:tc>
        <w:tc>
          <w:tcPr>
            <w:tcW w:w="15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8" w:after="283"/>
              <w:jc w:val="center"/>
              <w:rPr>
                <w:rFonts w:ascii="Times New Roman;serif" w:hAnsi="Times New Roman;serif"/>
                <w:b w:val="false"/>
                <w:color w:val="231F20"/>
                <w:sz w:val="12"/>
              </w:rPr>
            </w:pPr>
            <w:r>
              <w:rPr>
                <w:rFonts w:ascii="Times New Roman;serif" w:hAnsi="Times New Roman;serif"/>
                <w:b w:val="false"/>
                <w:color w:val="231F20"/>
                <w:sz w:val="12"/>
              </w:rPr>
              <w:t>(ZIP)</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tLeast" w:line="239" w:before="55" w:after="283"/>
              <w:ind w:left="0" w:right="0" w:hanging="220"/>
              <w:jc w:val="left"/>
              <w:rPr/>
            </w:pPr>
            <w:r>
              <w:rPr>
                <w:rFonts w:ascii="Times New Roman;serif" w:hAnsi="Times New Roman;serif"/>
                <w:b w:val="false"/>
                <w:color w:val="231F20"/>
                <w:sz w:val="16"/>
              </w:rPr>
              <w:t xml:space="preserve">I (We) choose to have distributions deposited in a </w:t>
            </w:r>
            <w:r>
              <w:rPr>
                <w:rFonts w:ascii="Times New Roman;serif" w:hAnsi="Times New Roman;serif"/>
                <w:b/>
                <w:color w:val="231F20"/>
                <w:sz w:val="16"/>
              </w:rPr>
              <w:t>checking, savings or brokerage account.</w:t>
            </w:r>
          </w:p>
          <w:p>
            <w:pPr>
              <w:pStyle w:val="TableContents"/>
              <w:bidi w:val="0"/>
              <w:spacing w:lineRule="auto" w:line="302" w:before="0" w:after="0"/>
              <w:jc w:val="left"/>
              <w:rPr>
                <w:rFonts w:ascii="Times New Roman;serif" w:hAnsi="Times New Roman;serif"/>
                <w:b w:val="false"/>
                <w:color w:val="231F20"/>
                <w:sz w:val="12"/>
              </w:rPr>
            </w:pPr>
            <w:r>
              <w:rPr>
                <w:rFonts w:ascii="Times New Roman;serif" w:hAnsi="Times New Roman;serif"/>
                <w:b w:val="false"/>
                <w:color w:val="231F20"/>
                <w:sz w:val="12"/>
              </w:rPr>
              <w:t>I (We) authorize the Company or their respective agents to deposit my (our) distribution into the accounts indicated below. The authority will remain in force until I (we) notify the Company in writing to cancel it. In the event that the Company deposits funds erroneously into my (our) account, the Company is authorized to debit my (our) account for the amount of the erroneous deposit. I (We) also hereby acknowledge that funds and/or Shares in my (our) account may be subject to applicable abandoned property, escheat or similar laws and may be transferred to the appropriate governmental authority in accordance with such laws, including as a result of account inactivity for the period of time specified in such laws or otherwise. None of the Company, its affiliates, its agents or any other person shall be liable for any property delivered in good faith to a governmental authority pursuance to applicable abandoned property, escheat or similar laws.</w:t>
            </w:r>
          </w:p>
        </w:tc>
        <w:tc>
          <w:tcPr>
            <w:tcW w:w="158" w:type="dxa"/>
            <w:tcBorders/>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88" w:before="92" w:after="283"/>
              <w:jc w:val="left"/>
              <w:rPr>
                <w:rFonts w:ascii="Times New Roman;serif" w:hAnsi="Times New Roman;serif"/>
                <w:b w:val="false"/>
                <w:color w:val="231F20"/>
                <w:sz w:val="16"/>
              </w:rPr>
            </w:pPr>
            <w:r>
              <w:rPr>
                <w:rFonts w:ascii="Times New Roman;serif" w:hAnsi="Times New Roman;serif"/>
                <w:b w:val="false"/>
                <w:color w:val="231F20"/>
                <w:sz w:val="16"/>
              </w:rPr>
              <w:t>Name of financial institution</w:t>
            </w:r>
          </w:p>
        </w:tc>
        <w:tc>
          <w:tcPr>
            <w:tcW w:w="4136" w:type="dxa"/>
            <w:gridSpan w:val="9"/>
            <w:tcBorders/>
            <w:tcMar>
              <w:top w:w="0" w:type="dxa"/>
              <w:left w:w="0" w:type="dxa"/>
              <w:bottom w:w="0" w:type="dxa"/>
              <w:right w:w="0" w:type="dxa"/>
            </w:tcMar>
            <w:vAlign w:val="center"/>
          </w:tcPr>
          <w:p>
            <w:pPr>
              <w:pStyle w:val="TableContents"/>
              <w:bidi w:val="0"/>
              <w:spacing w:lineRule="auto" w:line="288" w:before="96" w:after="283"/>
              <w:jc w:val="left"/>
              <w:rPr>
                <w:rFonts w:ascii="Times New Roman;serif" w:hAnsi="Times New Roman;serif"/>
                <w:b w:val="false"/>
                <w:color w:val="231F20"/>
                <w:sz w:val="16"/>
              </w:rPr>
            </w:pPr>
            <w:r>
              <w:rPr>
                <w:rFonts w:ascii="Times New Roman;serif" w:hAnsi="Times New Roman;serif"/>
                <w:b w:val="false"/>
                <w:color w:val="231F20"/>
                <w:sz w:val="16"/>
              </w:rPr>
              <w:t>Account type: Checking Savings Brokerage</w:t>
            </w:r>
          </w:p>
        </w:tc>
        <w:tc>
          <w:tcPr>
            <w:tcW w:w="158" w:type="dxa"/>
            <w:tcBorders/>
          </w:tcPr>
          <w:p>
            <w:pPr>
              <w:pStyle w:val="TableContents"/>
              <w:bidi w:val="0"/>
              <w:spacing w:before="0" w:after="283"/>
              <w:jc w:val="left"/>
              <w:rPr>
                <w:sz w:val="4"/>
                <w:szCs w:val="4"/>
              </w:rPr>
            </w:pPr>
            <w:r>
              <w:rPr>
                <w:sz w:val="4"/>
                <w:szCs w:val="4"/>
              </w:rPr>
            </w:r>
          </w:p>
        </w:tc>
      </w:tr>
      <w:tr>
        <w:trPr/>
        <w:tc>
          <w:tcPr>
            <w:tcW w:w="59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57" w:after="283"/>
              <w:jc w:val="left"/>
              <w:rPr>
                <w:rFonts w:ascii="Times New Roman;serif" w:hAnsi="Times New Roman;serif"/>
                <w:b w:val="false"/>
                <w:color w:val="000000"/>
                <w:sz w:val="16"/>
              </w:rPr>
            </w:pPr>
            <w:r>
              <w:rPr>
                <w:rFonts w:ascii="Times New Roman;serif" w:hAnsi="Times New Roman;serif"/>
                <w:b w:val="false"/>
                <w:color w:val="000000"/>
                <w:sz w:val="16"/>
              </w:rPr>
              <w:t>ABA routing number (if applicable)</w:t>
            </w:r>
          </w:p>
        </w:tc>
        <w:tc>
          <w:tcPr>
            <w:tcW w:w="4136" w:type="dxa"/>
            <w:gridSpan w:val="9"/>
            <w:tcBorders/>
            <w:tcMar>
              <w:top w:w="0" w:type="dxa"/>
              <w:left w:w="0" w:type="dxa"/>
              <w:bottom w:w="0" w:type="dxa"/>
              <w:right w:w="0" w:type="dxa"/>
            </w:tcMar>
            <w:vAlign w:val="center"/>
          </w:tcPr>
          <w:p>
            <w:pPr>
              <w:pStyle w:val="TableContents"/>
              <w:bidi w:val="0"/>
              <w:spacing w:lineRule="auto" w:line="240" w:before="57" w:after="283"/>
              <w:jc w:val="left"/>
              <w:rPr>
                <w:color w:val="000000"/>
              </w:rPr>
            </w:pPr>
            <w:r>
              <w:rPr>
                <w:color w:val="000000"/>
              </w:rPr>
              <w:t>   </w:t>
            </w:r>
            <w:r>
              <w:rPr>
                <w:rFonts w:ascii="Times New Roman;serif" w:hAnsi="Times New Roman;serif"/>
                <w:b w:val="false"/>
                <w:color w:val="000000"/>
                <w:sz w:val="16"/>
              </w:rPr>
              <w:t>Account Number</w:t>
            </w:r>
          </w:p>
        </w:tc>
        <w:tc>
          <w:tcPr>
            <w:tcW w:w="158" w:type="dxa"/>
            <w:tcBorders/>
          </w:tcPr>
          <w:p>
            <w:pPr>
              <w:pStyle w:val="TableContents"/>
              <w:bidi w:val="0"/>
              <w:spacing w:before="0" w:after="283"/>
              <w:jc w:val="left"/>
              <w:rPr>
                <w:sz w:val="4"/>
                <w:szCs w:val="4"/>
              </w:rPr>
            </w:pPr>
            <w:r>
              <w:rPr>
                <w:sz w:val="4"/>
                <w:szCs w:val="4"/>
              </w:rPr>
            </w:r>
          </w:p>
        </w:tc>
      </w:tr>
      <w:tr>
        <w:trPr/>
        <w:tc>
          <w:tcPr>
            <w:tcW w:w="59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99" w:after="283"/>
              <w:jc w:val="left"/>
              <w:rPr>
                <w:rFonts w:ascii="Times New Roman;serif" w:hAnsi="Times New Roman;serif"/>
                <w:b/>
                <w:color w:val="231F20"/>
                <w:sz w:val="17"/>
              </w:rPr>
            </w:pPr>
            <w:r>
              <w:rPr>
                <w:rFonts w:ascii="Times New Roman;serif" w:hAnsi="Times New Roman;serif"/>
                <w:b/>
                <w:color w:val="231F20"/>
                <w:sz w:val="17"/>
              </w:rPr>
              <w:t>Distribution reinvestment plan</w:t>
            </w:r>
          </w:p>
        </w:tc>
        <w:tc>
          <w:tcPr>
            <w:tcW w:w="12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88" w:before="43" w:after="283"/>
              <w:jc w:val="left"/>
              <w:rPr>
                <w:rFonts w:ascii="Times New Roman;serif" w:hAnsi="Times New Roman;serif"/>
                <w:b w:val="false"/>
                <w:color w:val="231F20"/>
                <w:sz w:val="16"/>
              </w:rPr>
            </w:pPr>
            <w:r>
              <w:rPr>
                <w:rFonts w:ascii="Times New Roman;serif" w:hAnsi="Times New Roman;serif"/>
                <w:b w:val="false"/>
                <w:color w:val="231F20"/>
                <w:sz w:val="16"/>
              </w:rPr>
              <w:t xml:space="preserve">I (We) choose to participate in the Company’s distribution reinvestment plan. </w:t>
            </w:r>
          </w:p>
          <w:p>
            <w:pPr>
              <w:pStyle w:val="TableContents"/>
              <w:bidi w:val="0"/>
              <w:spacing w:lineRule="auto" w:line="288" w:before="43" w:after="283"/>
              <w:jc w:val="left"/>
              <w:rPr>
                <w:rFonts w:ascii="Times New Roman;serif" w:hAnsi="Times New Roman;serif"/>
                <w:b w:val="false"/>
                <w:color w:val="231F20"/>
                <w:sz w:val="12"/>
              </w:rPr>
            </w:pPr>
            <w:r>
              <w:rPr>
                <w:rFonts w:ascii="Times New Roman;serif" w:hAnsi="Times New Roman;serif"/>
                <w:b w:val="false"/>
                <w:color w:val="231F20"/>
                <w:sz w:val="12"/>
              </w:rPr>
              <w:t>The Company requests each investor who elects to have his or her distributions reinvested pursuant to the Company’s distribution reinvestment plan to notify the Company and the broker-dealer and financial institution named in this Subscription Agreement in writing at any time there is a material change in his or her financial condition, including failure to meet the minimum gross income and net worth standards set forth in section 8 below.</w:t>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9"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7170"/>
                <wp:effectExtent l="0" t="0" r="0" b="0"/>
                <wp:wrapNone/>
                <wp:docPr id="11" name="Frame8"/>
                <a:graphic xmlns:a="http://schemas.openxmlformats.org/drawingml/2006/main">
                  <a:graphicData uri="http://schemas.microsoft.com/office/word/2010/wordprocessingShape">
                    <wps:wsp>
                      <wps:cNvSpPr txBox="1"/>
                      <wps:spPr>
                        <a:xfrm>
                          <a:off x="0" y="0"/>
                          <a:ext cx="6480175" cy="217170"/>
                        </a:xfrm>
                        <a:prstGeom prst="rect"/>
                        <a:solidFill>
                          <a:srgbClr val="FFFFFF"/>
                        </a:solidFill>
                      </wps:spPr>
                      <wps:txbx>
                        <w:txbxContent>
                          <w:p>
                            <w:pPr>
                              <w:pStyle w:val="TextBody"/>
                              <w:bidi w:val="0"/>
                              <w:spacing w:before="66"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6" w:after="283"/>
                        <w:jc w:val="right"/>
                        <w:rPr/>
                      </w:pPr>
                      <w:r>
                        <w:rPr/>
                      </w:r>
                    </w:p>
                  </w:txbxContent>
                </v:textbox>
                <w10:wrap type="none"/>
              </v:rect>
            </w:pict>
          </mc:Fallback>
        </mc:AlternateContent>
      </w:r>
    </w:p>
    <w:tbl>
      <w:tblPr>
        <w:tblW w:w="8400" w:type="dxa"/>
        <w:jc w:val="left"/>
        <w:tblInd w:w="0" w:type="dxa"/>
        <w:tblLayout w:type="fixed"/>
        <w:tblCellMar>
          <w:top w:w="28" w:type="dxa"/>
          <w:left w:w="28" w:type="dxa"/>
          <w:bottom w:w="28" w:type="dxa"/>
          <w:right w:w="28" w:type="dxa"/>
        </w:tblCellMar>
      </w:tblPr>
      <w:tblGrid>
        <w:gridCol w:w="2690"/>
        <w:gridCol w:w="2360"/>
        <w:gridCol w:w="3350"/>
      </w:tblGrid>
      <w:tr>
        <w:trPr/>
        <w:tc>
          <w:tcPr>
            <w:tcW w:w="26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8400" w:type="dxa"/>
            <w:gridSpan w:val="3"/>
            <w:tcBorders/>
            <w:tcMar>
              <w:top w:w="0" w:type="dxa"/>
              <w:left w:w="0" w:type="dxa"/>
              <w:bottom w:w="0" w:type="dxa"/>
              <w:right w:w="0" w:type="dxa"/>
            </w:tcMar>
            <w:vAlign w:val="center"/>
          </w:tcPr>
          <w:p>
            <w:pPr>
              <w:pStyle w:val="TableContents"/>
              <w:bidi w:val="0"/>
              <w:spacing w:lineRule="auto" w:line="288" w:before="51" w:after="283"/>
              <w:jc w:val="left"/>
              <w:rPr>
                <w:rFonts w:ascii="Times New Roman;serif" w:hAnsi="Times New Roman;serif"/>
                <w:b w:val="false"/>
                <w:color w:val="231F20"/>
                <w:sz w:val="16"/>
              </w:rPr>
            </w:pPr>
            <w:r>
              <w:rPr>
                <w:rFonts w:ascii="Times New Roman;serif" w:hAnsi="Times New Roman;serif"/>
                <w:b w:val="false"/>
                <w:color w:val="231F20"/>
                <w:sz w:val="16"/>
              </w:rPr>
              <w:t>FS Credit Real Estate Income Trust, Inc. – Subscription Agreement | Class D, Class I, Class M, Class S and Class T V6.3</w:t>
            </w:r>
          </w:p>
        </w:tc>
      </w:tr>
    </w:tbl>
    <w:tbl>
      <w:tblPr>
        <w:tblW w:w="10205" w:type="dxa"/>
        <w:jc w:val="left"/>
        <w:tblInd w:w="0" w:type="dxa"/>
        <w:tblLayout w:type="fixed"/>
        <w:tblCellMar>
          <w:top w:w="28" w:type="dxa"/>
          <w:left w:w="28" w:type="dxa"/>
          <w:bottom w:w="28" w:type="dxa"/>
          <w:right w:w="28" w:type="dxa"/>
        </w:tblCellMar>
      </w:tblPr>
      <w:tblGrid>
        <w:gridCol w:w="3278"/>
        <w:gridCol w:w="2802"/>
        <w:gridCol w:w="2806"/>
        <w:gridCol w:w="206"/>
        <w:gridCol w:w="206"/>
        <w:gridCol w:w="207"/>
        <w:gridCol w:w="203"/>
        <w:gridCol w:w="203"/>
        <w:gridCol w:w="294"/>
      </w:tblGrid>
      <w:tr>
        <w:trPr/>
        <w:tc>
          <w:tcPr>
            <w:tcW w:w="3278"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886" w:type="dxa"/>
            <w:gridSpan w:val="3"/>
            <w:tcBorders/>
            <w:shd w:fill="231F20" w:val="clear"/>
            <w:tcMar>
              <w:top w:w="0" w:type="dxa"/>
              <w:left w:w="0" w:type="dxa"/>
              <w:bottom w:w="0" w:type="dxa"/>
              <w:right w:w="0" w:type="dxa"/>
            </w:tcMar>
            <w:vAlign w:val="center"/>
          </w:tcPr>
          <w:p>
            <w:pPr>
              <w:pStyle w:val="TableContents"/>
              <w:bidi w:val="0"/>
              <w:spacing w:lineRule="atLeast" w:line="336" w:before="5" w:after="283"/>
              <w:jc w:val="left"/>
              <w:rPr/>
            </w:pPr>
            <w:r>
              <w:rPr>
                <w:color w:val="FFFFFF"/>
              </w:rPr>
              <w:t> </w:t>
            </w:r>
            <w:r>
              <w:rPr>
                <w:rFonts w:ascii="Times New Roman;serif" w:hAnsi="Times New Roman;serif"/>
                <w:b w:val="false"/>
                <w:color w:val="FFFFFF"/>
                <w:sz w:val="20"/>
                <w:shd w:fill="231F20" w:val="clear"/>
              </w:rPr>
              <w:t>8</w:t>
            </w:r>
            <w:r>
              <w:rPr>
                <w:color w:val="FFFFFF"/>
              </w:rPr>
              <w:t xml:space="preserve"> </w:t>
            </w:r>
            <w:r>
              <w:rPr>
                <w:rFonts w:ascii="Times New Roman;serif" w:hAnsi="Times New Roman;serif"/>
                <w:b w:val="false"/>
                <w:color w:val="FFFFFF"/>
                <w:sz w:val="20"/>
                <w:shd w:fill="231F20" w:val="clear"/>
              </w:rPr>
              <w:t>Investor</w:t>
            </w:r>
            <w:r>
              <w:rPr>
                <w:color w:val="FFFFFF"/>
              </w:rPr>
              <w:t xml:space="preserve"> </w:t>
            </w:r>
            <w:r>
              <w:rPr>
                <w:rFonts w:ascii="Times New Roman;serif" w:hAnsi="Times New Roman;serif"/>
                <w:b w:val="false"/>
                <w:color w:val="FFFFFF"/>
                <w:sz w:val="20"/>
                <w:shd w:fill="231F20" w:val="clear"/>
              </w:rPr>
              <w:t>representations</w:t>
            </w:r>
            <w:r>
              <w:rPr>
                <w:color w:val="FFFFFF"/>
              </w:rPr>
              <w:t>    </w:t>
            </w:r>
          </w:p>
        </w:tc>
        <w:tc>
          <w:tcPr>
            <w:tcW w:w="619"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6" w:type="dxa"/>
            <w:gridSpan w:val="3"/>
            <w:tcBorders/>
            <w:tcMar>
              <w:top w:w="0" w:type="dxa"/>
              <w:left w:w="0" w:type="dxa"/>
              <w:bottom w:w="0" w:type="dxa"/>
              <w:right w:w="0" w:type="dxa"/>
            </w:tcMar>
            <w:vAlign w:val="center"/>
          </w:tcPr>
          <w:p>
            <w:pPr>
              <w:pStyle w:val="TableContents"/>
              <w:bidi w:val="0"/>
              <w:spacing w:lineRule="auto" w:line="266" w:before="39" w:after="283"/>
              <w:jc w:val="left"/>
              <w:rPr>
                <w:rFonts w:ascii="Times New Roman;serif" w:hAnsi="Times New Roman;serif"/>
                <w:b w:val="false"/>
                <w:color w:val="231F20"/>
                <w:sz w:val="16"/>
              </w:rPr>
            </w:pPr>
            <w:r>
              <w:rPr>
                <w:rFonts w:ascii="Times New Roman;serif" w:hAnsi="Times New Roman;serif"/>
                <w:b w:val="false"/>
                <w:color w:val="231F20"/>
                <w:sz w:val="16"/>
              </w:rPr>
              <w:t>Please carefully read and separately initial each of the representations below. For purposes of determining whether you satisfy the suitability standards set forth below (i) “net worth” is calculated excluding the value of an investor’s home, home furnishings and automobiles; (ii) if not otherwise specified, “liquid net worth” means that portion of an investor’s net worth consisting of cash, cash equivalents and readily marketable securities; and (iii) “direct participation programs” includes REITs, business development companies, oil and gas programs, equipment leasing programs, and commodity pools, but excludes federal and state exempt private offerings and any investment company registered pursuant to the Investment Company Act of 1940, as amended. In the case of joint investors, each investor must initial. Except in the case of fiduciary accounts, you may not grant any person power of attorney to make such representations on your behalf. In order to induce FS Credit Real Estate Income Trust, Inc. to accept this subscription, I (we) hereby represent and warrant that:</w:t>
            </w:r>
          </w:p>
          <w:p>
            <w:pPr>
              <w:pStyle w:val="TableContents"/>
              <w:bidi w:val="0"/>
              <w:spacing w:lineRule="auto" w:line="288" w:before="71" w:after="283"/>
              <w:jc w:val="left"/>
              <w:rPr>
                <w:rFonts w:ascii="Times New Roman;serif" w:hAnsi="Times New Roman;serif"/>
                <w:b/>
                <w:color w:val="231F20"/>
                <w:sz w:val="16"/>
              </w:rPr>
            </w:pPr>
            <w:r>
              <w:rPr>
                <w:rFonts w:ascii="Times New Roman;serif" w:hAnsi="Times New Roman;serif"/>
                <w:b/>
                <w:color w:val="231F20"/>
                <w:sz w:val="16"/>
              </w:rPr>
              <w:t>Initials are required for letters a–e</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Owner</w:t>
            </w:r>
          </w:p>
          <w:p>
            <w:pPr>
              <w:pStyle w:val="TableContents"/>
              <w:bidi w:val="0"/>
              <w:spacing w:lineRule="atLeast" w:line="142" w:before="0" w:after="0"/>
              <w:jc w:val="center"/>
              <w:rPr>
                <w:rFonts w:ascii="Times New Roman;serif" w:hAnsi="Times New Roman;serif"/>
                <w:b w:val="false"/>
                <w:color w:val="231F20"/>
                <w:sz w:val="16"/>
              </w:rPr>
            </w:pPr>
            <w:r>
              <w:rPr>
                <w:rFonts w:ascii="Times New Roman;serif" w:hAnsi="Times New Roman;serif"/>
                <w:b w:val="false"/>
                <w:color w:val="231F20"/>
                <w:sz w:val="16"/>
              </w:rPr>
              <w:t>(initials)</w:t>
            </w:r>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Joint owner</w:t>
            </w:r>
          </w:p>
          <w:p>
            <w:pPr>
              <w:pStyle w:val="TableContents"/>
              <w:bidi w:val="0"/>
              <w:spacing w:lineRule="auto" w:line="288" w:before="2" w:after="283"/>
              <w:jc w:val="center"/>
              <w:rPr>
                <w:rFonts w:ascii="Times New Roman;serif" w:hAnsi="Times New Roman;serif"/>
                <w:b w:val="false"/>
                <w:color w:val="231F20"/>
                <w:sz w:val="16"/>
              </w:rPr>
            </w:pPr>
            <w:r>
              <w:rPr>
                <w:rFonts w:ascii="Times New Roman;serif" w:hAnsi="Times New Roman;serif"/>
                <w:b w:val="false"/>
                <w:color w:val="231F20"/>
                <w:sz w:val="16"/>
              </w:rPr>
              <w:t>(initials)</w:t>
            </w:r>
          </w:p>
        </w:tc>
      </w:tr>
      <w:tr>
        <w:trPr/>
        <w:tc>
          <w:tcPr>
            <w:tcW w:w="8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6" w:before="16" w:after="283"/>
              <w:ind w:left="0" w:right="0" w:hanging="180"/>
              <w:jc w:val="left"/>
              <w:rPr>
                <w:rFonts w:ascii="Times New Roman;serif" w:hAnsi="Times New Roman;serif"/>
                <w:b w:val="false"/>
                <w:color w:val="231F20"/>
                <w:sz w:val="16"/>
              </w:rPr>
            </w:pPr>
            <w:r>
              <w:rPr>
                <w:rFonts w:ascii="Times New Roman;serif" w:hAnsi="Times New Roman;serif"/>
                <w:b w:val="false"/>
                <w:color w:val="231F20"/>
                <w:sz w:val="16"/>
              </w:rPr>
              <w:t>a) I (We) have received a Prospectus for FS Credit Real Estate Income Trust, Inc. relating to the Shares for which I am (we are) subscribing at least 5 (five) business days prior to the signing of this Subscription Agreement, wherein the terms and conditions of the offering are described, and I (we) agree to the terms and conditions therein.</w:t>
            </w:r>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both"/>
              <w:rPr>
                <w:rFonts w:ascii="Times New Roman;serif" w:hAnsi="Times New Roman;serif"/>
                <w:b w:val="false"/>
                <w:color w:val="231F20"/>
                <w:sz w:val="16"/>
              </w:rPr>
            </w:pPr>
            <w:r>
              <w:rPr>
                <w:rFonts w:ascii="Times New Roman;serif" w:hAnsi="Times New Roman;serif"/>
                <w:b w:val="false"/>
                <w:color w:val="231F20"/>
                <w:sz w:val="16"/>
              </w:rPr>
              <w:t>b) I (We) certify that I (we) have either (1) a net worth (not including home, furnishings and personal automobiles) of at least $100,000 and an annual gross income of at least $100,000, or (2) a net worth (not including home, furnishings and personal automobiles) of at least $350,000, or that I (we) meet the higher suitability requirements imposed by my (our) state of primary residence as set forth in the Prospectus for FS Credit Real Estate Income Trust, Inc. relating to the Shares under “Suitability Standards.”    </w:t>
            </w:r>
          </w:p>
        </w:tc>
        <w:tc>
          <w:tcPr>
            <w:tcW w:w="6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43" w:after="283"/>
              <w:jc w:val="left"/>
              <w:rPr>
                <w:rFonts w:ascii="Times New Roman;serif" w:hAnsi="Times New Roman;serif"/>
                <w:b w:val="false"/>
                <w:color w:val="231F20"/>
                <w:sz w:val="16"/>
              </w:rPr>
            </w:pPr>
            <w:r>
              <w:rPr>
                <w:rFonts w:ascii="Times New Roman;serif" w:hAnsi="Times New Roman;serif"/>
                <w:b w:val="false"/>
                <w:color w:val="231F20"/>
                <w:sz w:val="16"/>
              </w:rPr>
              <w:t>c) I am (We are) purchasing Shares for my (our) own account.</w:t>
            </w:r>
          </w:p>
        </w:tc>
        <w:tc>
          <w:tcPr>
            <w:tcW w:w="6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91" w:after="283"/>
              <w:jc w:val="left"/>
              <w:rPr>
                <w:rFonts w:ascii="Times New Roman;serif" w:hAnsi="Times New Roman;serif"/>
                <w:b w:val="false"/>
                <w:color w:val="231F20"/>
                <w:sz w:val="16"/>
              </w:rPr>
            </w:pPr>
            <w:r>
              <w:rPr>
                <w:rFonts w:ascii="Times New Roman;serif" w:hAnsi="Times New Roman;serif"/>
                <w:b w:val="false"/>
                <w:color w:val="231F20"/>
                <w:sz w:val="16"/>
              </w:rPr>
              <w:t>d) I (We) acknowledge that the Shares are not liquid, there is no public market for the Shares, and I (we) may not be able to sell the Shares.</w:t>
            </w:r>
          </w:p>
        </w:tc>
        <w:tc>
          <w:tcPr>
            <w:tcW w:w="6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88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6" w:before="16" w:after="283"/>
              <w:ind w:left="0" w:right="0" w:hanging="180"/>
              <w:jc w:val="both"/>
              <w:rPr>
                <w:rFonts w:ascii="Times New Roman;serif" w:hAnsi="Times New Roman;serif"/>
                <w:b w:val="false"/>
                <w:color w:val="231F20"/>
                <w:sz w:val="16"/>
              </w:rPr>
            </w:pPr>
            <w:r>
              <w:rPr>
                <w:rFonts w:ascii="Times New Roman;serif" w:hAnsi="Times New Roman;serif"/>
                <w:b w:val="false"/>
                <w:color w:val="231F20"/>
                <w:sz w:val="16"/>
              </w:rPr>
              <w:t>e) I (We) understand that the transaction price per Share at which my (our) investment will be executed will be made available at www.futurestandard.com and in a Prospectus supplement filed with the SEC, available at www.sec.gov. I (We) understand that my (our) subscription will not be accepted before the later of (i) two business days before the first calendar day of the month and (ii) three business days after the transaction price is made available. I (We) understand that I am (we are) not committed to purchase Shares at the time my (our) subscription is submitted and I (we) may cancel my (our) subscription at any time before the time it has been accepted as described in the previous sentence. I (We) understand that I (we) may withdraw my (our) subscription by notifying the transfer agent, through</w:t>
            </w:r>
          </w:p>
          <w:p>
            <w:pPr>
              <w:pStyle w:val="TableContents"/>
              <w:bidi w:val="0"/>
              <w:spacing w:lineRule="atLeast" w:line="155" w:before="0" w:after="0"/>
              <w:jc w:val="both"/>
              <w:rPr>
                <w:color w:val="231F20"/>
              </w:rPr>
            </w:pPr>
            <w:r>
              <w:rPr>
                <w:color w:val="231F20"/>
              </w:rPr>
              <w:t>     </w:t>
            </w:r>
            <w:r>
              <w:rPr>
                <w:rFonts w:ascii="Times New Roman;serif" w:hAnsi="Times New Roman;serif"/>
                <w:b w:val="false"/>
                <w:color w:val="231F20"/>
                <w:sz w:val="16"/>
              </w:rPr>
              <w:t>my (our) financial intermediary or directly on FS Credit Real Estate Income Trust, Inc.’s toll-free line, 877-628-8575.    </w:t>
            </w:r>
          </w:p>
        </w:tc>
        <w:tc>
          <w:tcPr>
            <w:tcW w:w="61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2" w:space="0" w:color="000000"/>
              <w:left w:val="single" w:sz="8"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7170"/>
                <wp:effectExtent l="0" t="0" r="0" b="0"/>
                <wp:wrapNone/>
                <wp:docPr id="12" name="Frame9"/>
                <a:graphic xmlns:a="http://schemas.openxmlformats.org/drawingml/2006/main">
                  <a:graphicData uri="http://schemas.microsoft.com/office/word/2010/wordprocessingShape">
                    <wps:wsp>
                      <wps:cNvSpPr txBox="1"/>
                      <wps:spPr>
                        <a:xfrm>
                          <a:off x="0" y="0"/>
                          <a:ext cx="6480175" cy="217170"/>
                        </a:xfrm>
                        <a:prstGeom prst="rect"/>
                        <a:solidFill>
                          <a:srgbClr val="FFFFFF"/>
                        </a:solidFill>
                      </wps:spPr>
                      <wps:txbx>
                        <w:txbxContent>
                          <w:p>
                            <w:pPr>
                              <w:pStyle w:val="TextBody"/>
                              <w:bidi w:val="0"/>
                              <w:spacing w:before="66"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6" w:after="283"/>
                        <w:jc w:val="right"/>
                        <w:rPr/>
                      </w:pPr>
                      <w:r>
                        <w:rPr/>
                      </w:r>
                    </w:p>
                  </w:txbxContent>
                </v:textbox>
                <w10:wrap type="none"/>
              </v:rect>
            </w:pict>
          </mc:Fallback>
        </mc:AlternateContent>
      </w:r>
    </w:p>
    <w:tbl>
      <w:tblPr>
        <w:tblW w:w="8400" w:type="dxa"/>
        <w:jc w:val="left"/>
        <w:tblInd w:w="0" w:type="dxa"/>
        <w:tblLayout w:type="fixed"/>
        <w:tblCellMar>
          <w:top w:w="28" w:type="dxa"/>
          <w:left w:w="28" w:type="dxa"/>
          <w:bottom w:w="28" w:type="dxa"/>
          <w:right w:w="28" w:type="dxa"/>
        </w:tblCellMar>
      </w:tblPr>
      <w:tblGrid>
        <w:gridCol w:w="2690"/>
        <w:gridCol w:w="2360"/>
        <w:gridCol w:w="3350"/>
      </w:tblGrid>
      <w:tr>
        <w:trPr/>
        <w:tc>
          <w:tcPr>
            <w:tcW w:w="26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8400" w:type="dxa"/>
            <w:gridSpan w:val="3"/>
            <w:tcBorders/>
            <w:tcMar>
              <w:top w:w="0" w:type="dxa"/>
              <w:left w:w="0" w:type="dxa"/>
              <w:bottom w:w="0" w:type="dxa"/>
              <w:right w:w="0" w:type="dxa"/>
            </w:tcMar>
            <w:vAlign w:val="center"/>
          </w:tcPr>
          <w:p>
            <w:pPr>
              <w:pStyle w:val="TableContents"/>
              <w:bidi w:val="0"/>
              <w:spacing w:lineRule="auto" w:line="288" w:before="51" w:after="283"/>
              <w:jc w:val="left"/>
              <w:rPr>
                <w:rFonts w:ascii="Times New Roman;serif" w:hAnsi="Times New Roman;serif"/>
                <w:b w:val="false"/>
                <w:color w:val="231F20"/>
                <w:sz w:val="16"/>
              </w:rPr>
            </w:pPr>
            <w:r>
              <w:rPr>
                <w:rFonts w:ascii="Times New Roman;serif" w:hAnsi="Times New Roman;serif"/>
                <w:b w:val="false"/>
                <w:color w:val="231F20"/>
                <w:sz w:val="16"/>
              </w:rPr>
              <w:t>FS Credit Real Estate Income Trust, Inc. – Subscription Agreement | Class D, Class I, Class M, Class S and Class T V6.3</w:t>
            </w:r>
          </w:p>
        </w:tc>
      </w:tr>
    </w:tbl>
    <w:p>
      <w:pPr>
        <w:pStyle w:val="TextBody"/>
        <w:bidi w:val="0"/>
        <w:spacing w:before="0" w:after="0"/>
        <w:jc w:val="left"/>
        <w:rPr/>
      </w:pPr>
      <w:r>
        <w:rPr/>
      </w:r>
    </w:p>
    <w:p>
      <w:pPr>
        <w:pStyle w:val="TextBody"/>
        <w:bidi w:val="0"/>
        <w:spacing w:before="69" w:after="283"/>
        <w:jc w:val="left"/>
        <w:rPr/>
      </w:pPr>
      <w:r>
        <w:rPr/>
      </w:r>
    </w:p>
    <w:tbl>
      <w:tblPr>
        <w:tblW w:w="10205" w:type="dxa"/>
        <w:jc w:val="left"/>
        <w:tblInd w:w="0" w:type="dxa"/>
        <w:tblLayout w:type="fixed"/>
        <w:tblCellMar>
          <w:top w:w="28" w:type="dxa"/>
          <w:left w:w="28" w:type="dxa"/>
          <w:bottom w:w="28" w:type="dxa"/>
          <w:right w:w="28" w:type="dxa"/>
        </w:tblCellMar>
      </w:tblPr>
      <w:tblGrid>
        <w:gridCol w:w="3233"/>
        <w:gridCol w:w="2836"/>
        <w:gridCol w:w="2849"/>
        <w:gridCol w:w="207"/>
        <w:gridCol w:w="207"/>
        <w:gridCol w:w="208"/>
        <w:gridCol w:w="193"/>
        <w:gridCol w:w="193"/>
        <w:gridCol w:w="279"/>
      </w:tblGrid>
      <w:tr>
        <w:trPr/>
        <w:tc>
          <w:tcPr>
            <w:tcW w:w="3233"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8918" w:type="dxa"/>
            <w:gridSpan w:val="3"/>
            <w:tcBorders/>
            <w:shd w:fill="231F20" w:val="clear"/>
            <w:tcMar>
              <w:top w:w="0" w:type="dxa"/>
              <w:left w:w="0" w:type="dxa"/>
              <w:bottom w:w="0" w:type="dxa"/>
              <w:right w:w="0" w:type="dxa"/>
            </w:tcMar>
            <w:vAlign w:val="center"/>
          </w:tcPr>
          <w:p>
            <w:pPr>
              <w:pStyle w:val="TableContents"/>
              <w:bidi w:val="0"/>
              <w:spacing w:lineRule="atLeast" w:line="311" w:before="5" w:after="283"/>
              <w:jc w:val="left"/>
              <w:rPr/>
            </w:pPr>
            <w:r>
              <w:rPr>
                <w:color w:val="FFFFFF"/>
              </w:rPr>
              <w:t> </w:t>
            </w:r>
            <w:r>
              <w:rPr>
                <w:rFonts w:ascii="Times New Roman;serif" w:hAnsi="Times New Roman;serif"/>
                <w:b w:val="false"/>
                <w:color w:val="FFFFFF"/>
                <w:sz w:val="22"/>
                <w:shd w:fill="231F20" w:val="clear"/>
              </w:rPr>
              <w:t>8</w:t>
            </w:r>
            <w:r>
              <w:rPr>
                <w:color w:val="FFFFFF"/>
              </w:rPr>
              <w:t xml:space="preserve"> </w:t>
            </w:r>
            <w:r>
              <w:rPr>
                <w:rFonts w:ascii="Times New Roman;serif" w:hAnsi="Times New Roman;serif"/>
                <w:b w:val="false"/>
                <w:color w:val="FFFFFF"/>
                <w:sz w:val="22"/>
                <w:shd w:fill="231F20" w:val="clear"/>
              </w:rPr>
              <w:t>Investor</w:t>
            </w:r>
            <w:r>
              <w:rPr>
                <w:color w:val="FFFFFF"/>
              </w:rPr>
              <w:t xml:space="preserve"> </w:t>
            </w:r>
            <w:r>
              <w:rPr>
                <w:rFonts w:ascii="Times New Roman;serif" w:hAnsi="Times New Roman;serif"/>
                <w:b w:val="false"/>
                <w:color w:val="FFFFFF"/>
                <w:sz w:val="22"/>
                <w:shd w:fill="231F20" w:val="clear"/>
              </w:rPr>
              <w:t>representations</w:t>
            </w:r>
            <w:r>
              <w:rPr>
                <w:color w:val="FFFFFF"/>
              </w:rPr>
              <w:t xml:space="preserve"> </w:t>
            </w:r>
            <w:r>
              <w:rPr>
                <w:rFonts w:ascii="Times New Roman;serif" w:hAnsi="Times New Roman;serif"/>
                <w:b w:val="false"/>
                <w:color w:val="FFFFFF"/>
                <w:sz w:val="18"/>
                <w:shd w:fill="231F20" w:val="clear"/>
              </w:rPr>
              <w:t>(continued)</w:t>
            </w:r>
            <w:r>
              <w:rPr>
                <w:color w:val="FFFFFF"/>
              </w:rPr>
              <w:t>    </w:t>
            </w:r>
          </w:p>
        </w:tc>
        <w:tc>
          <w:tcPr>
            <w:tcW w:w="622"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cMar>
              <w:top w:w="0" w:type="dxa"/>
              <w:left w:w="0" w:type="dxa"/>
              <w:bottom w:w="0" w:type="dxa"/>
              <w:right w:w="0" w:type="dxa"/>
            </w:tcMar>
            <w:vAlign w:val="center"/>
          </w:tcPr>
          <w:p>
            <w:pPr>
              <w:pStyle w:val="TableContents"/>
              <w:bidi w:val="0"/>
              <w:spacing w:before="127" w:after="283"/>
              <w:jc w:val="left"/>
              <w:rPr/>
            </w:pPr>
            <w:r>
              <w:rPr/>
            </w:r>
          </w:p>
          <w:p>
            <w:pPr>
              <w:pStyle w:val="TableContents"/>
              <w:bidi w:val="0"/>
              <w:spacing w:lineRule="auto" w:line="288" w:before="0" w:after="0"/>
              <w:jc w:val="left"/>
              <w:rPr>
                <w:rFonts w:ascii="Times New Roman;serif" w:hAnsi="Times New Roman;serif"/>
                <w:b w:val="false"/>
                <w:color w:val="231F20"/>
                <w:sz w:val="17"/>
              </w:rPr>
            </w:pPr>
            <w:r>
              <w:rPr>
                <w:rFonts w:ascii="Times New Roman;serif" w:hAnsi="Times New Roman;serif"/>
                <w:b w:val="false"/>
                <w:color w:val="231F20"/>
                <w:sz w:val="17"/>
              </w:rPr>
              <w:t>Initials are required based on State of Legal Residency</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Owner</w:t>
            </w:r>
          </w:p>
          <w:p>
            <w:pPr>
              <w:pStyle w:val="TableContents"/>
              <w:bidi w:val="0"/>
              <w:spacing w:lineRule="atLeast" w:line="142" w:before="0" w:after="0"/>
              <w:jc w:val="center"/>
              <w:rPr>
                <w:rFonts w:ascii="Times New Roman;serif" w:hAnsi="Times New Roman;serif"/>
                <w:b w:val="false"/>
                <w:color w:val="231F20"/>
                <w:sz w:val="16"/>
              </w:rPr>
            </w:pPr>
            <w:r>
              <w:rPr>
                <w:rFonts w:ascii="Times New Roman;serif" w:hAnsi="Times New Roman;serif"/>
                <w:b w:val="false"/>
                <w:color w:val="231F20"/>
                <w:sz w:val="16"/>
              </w:rPr>
              <w:t>(initials)</w:t>
            </w:r>
          </w:p>
        </w:tc>
        <w:tc>
          <w:tcPr>
            <w:tcW w:w="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Joint owner</w:t>
            </w:r>
          </w:p>
          <w:p>
            <w:pPr>
              <w:pStyle w:val="TableContents"/>
              <w:bidi w:val="0"/>
              <w:spacing w:lineRule="auto" w:line="288" w:before="2" w:after="283"/>
              <w:jc w:val="center"/>
              <w:rPr>
                <w:rFonts w:ascii="Times New Roman;serif" w:hAnsi="Times New Roman;serif"/>
                <w:b w:val="false"/>
                <w:color w:val="231F20"/>
                <w:sz w:val="16"/>
              </w:rPr>
            </w:pPr>
            <w:r>
              <w:rPr>
                <w:rFonts w:ascii="Times New Roman;serif" w:hAnsi="Times New Roman;serif"/>
                <w:b w:val="false"/>
                <w:color w:val="231F20"/>
                <w:sz w:val="16"/>
              </w:rPr>
              <w:t>initials)</w:t>
            </w:r>
          </w:p>
        </w:tc>
      </w:tr>
      <w:tr>
        <w:trPr/>
        <w:tc>
          <w:tcPr>
            <w:tcW w:w="8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6" w:before="16" w:after="283"/>
              <w:ind w:left="0" w:right="0" w:hanging="180"/>
              <w:jc w:val="left"/>
              <w:rPr/>
            </w:pPr>
            <w:r>
              <w:rPr>
                <w:rFonts w:ascii="Times New Roman;serif" w:hAnsi="Times New Roman;serif"/>
                <w:b w:val="false"/>
                <w:color w:val="231F20"/>
                <w:sz w:val="15"/>
              </w:rPr>
              <w:t xml:space="preserve">f) If I am (we are) a resident of </w:t>
            </w:r>
            <w:r>
              <w:rPr>
                <w:rFonts w:ascii="Times New Roman;serif" w:hAnsi="Times New Roman;serif"/>
                <w:b/>
                <w:color w:val="231F20"/>
                <w:sz w:val="15"/>
              </w:rPr>
              <w:t>Alabama</w:t>
            </w:r>
            <w:r>
              <w:rPr>
                <w:rFonts w:ascii="Times New Roman;serif" w:hAnsi="Times New Roman;serif"/>
                <w:b w:val="false"/>
                <w:color w:val="231F20"/>
                <w:sz w:val="15"/>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g) If I am (we are) a resident of </w:t>
            </w:r>
            <w:r>
              <w:rPr>
                <w:rFonts w:ascii="Times New Roman;serif" w:hAnsi="Times New Roman;serif"/>
                <w:b/>
                <w:color w:val="231F20"/>
                <w:sz w:val="15"/>
              </w:rPr>
              <w:t>Arkansas</w:t>
            </w:r>
            <w:r>
              <w:rPr>
                <w:rFonts w:ascii="Times New Roman;serif" w:hAnsi="Times New Roman;serif"/>
                <w:b w:val="false"/>
                <w:color w:val="231F20"/>
                <w:sz w:val="15"/>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h) If I am (we are) a resident of </w:t>
            </w:r>
            <w:r>
              <w:rPr>
                <w:rFonts w:ascii="Times New Roman;serif" w:hAnsi="Times New Roman;serif"/>
                <w:b/>
                <w:color w:val="231F20"/>
                <w:sz w:val="15"/>
              </w:rPr>
              <w:t>California</w:t>
            </w:r>
            <w:r>
              <w:rPr>
                <w:rFonts w:ascii="Times New Roman;serif" w:hAnsi="Times New Roman;serif"/>
                <w:b w:val="false"/>
                <w:color w:val="231F20"/>
                <w:sz w:val="15"/>
              </w:rPr>
              <w:t>, I (we) certify that I (we) either meet the definition of an “accredited investor” as defined in 17 C.F.R. § 230.501 of Regulation D under the Securities Act of 1933, as amended, or will not invest more than 10% of my (our) net worth in FS Credit Real Estate Income Trust, Inc. shares.</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3"/>
              </w:rPr>
              <w:t xml:space="preserve">i) If I am (we are) a resident of </w:t>
            </w:r>
            <w:r>
              <w:rPr>
                <w:rFonts w:ascii="Times New Roman;serif" w:hAnsi="Times New Roman;serif"/>
                <w:b/>
                <w:color w:val="231F20"/>
                <w:sz w:val="13"/>
              </w:rPr>
              <w:t>Idaho</w:t>
            </w:r>
            <w:r>
              <w:rPr>
                <w:rFonts w:ascii="Times New Roman;serif" w:hAnsi="Times New Roman;serif"/>
                <w:b w:val="false"/>
                <w:color w:val="231F20"/>
                <w:sz w:val="13"/>
              </w:rPr>
              <w:t xml:space="preserve">, I (we) certify that I (we) have either a net worth of at least $85,000 and annual gross income of at least $85,000 or </w:t>
            </w:r>
            <w:r>
              <w:rPr>
                <w:rFonts w:ascii="Times New Roman;serif" w:hAnsi="Times New Roman;serif"/>
                <w:b w:val="false"/>
                <w:color w:val="231F20"/>
                <w:sz w:val="15"/>
              </w:rPr>
              <w:t>a liquid net worth of at least $300,000.</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22" w:after="283"/>
              <w:ind w:left="0" w:right="0" w:hanging="180"/>
              <w:jc w:val="left"/>
              <w:rPr/>
            </w:pPr>
            <w:r>
              <w:rPr>
                <w:rFonts w:ascii="Times New Roman;serif" w:hAnsi="Times New Roman;serif"/>
                <w:b w:val="false"/>
                <w:color w:val="231F20"/>
                <w:sz w:val="15"/>
              </w:rPr>
              <w:t xml:space="preserve">j) If I am (we are) a resident of </w:t>
            </w:r>
            <w:r>
              <w:rPr>
                <w:rFonts w:ascii="Times New Roman;serif" w:hAnsi="Times New Roman;serif"/>
                <w:b/>
                <w:color w:val="231F20"/>
                <w:sz w:val="15"/>
              </w:rPr>
              <w:t>Iowa</w:t>
            </w:r>
            <w:r>
              <w:rPr>
                <w:rFonts w:ascii="Times New Roman;serif" w:hAnsi="Times New Roman;serif"/>
                <w:b w:val="false"/>
                <w:color w:val="231F20"/>
                <w:sz w:val="15"/>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tLeast" w:line="142" w:before="0" w:after="0"/>
              <w:ind w:left="0" w:right="0" w:hanging="180"/>
              <w:jc w:val="left"/>
              <w:rPr/>
            </w:pPr>
            <w:r>
              <w:rPr>
                <w:rFonts w:ascii="Times New Roman;serif" w:hAnsi="Times New Roman;serif"/>
                <w:b w:val="false"/>
                <w:color w:val="231F20"/>
                <w:sz w:val="13"/>
              </w:rPr>
              <w:t xml:space="preserve">k) If I am (we are) a </w:t>
            </w:r>
            <w:r>
              <w:rPr>
                <w:rFonts w:ascii="Times New Roman;serif" w:hAnsi="Times New Roman;serif"/>
                <w:b/>
                <w:color w:val="231F20"/>
                <w:sz w:val="13"/>
              </w:rPr>
              <w:t xml:space="preserve">Kansas </w:t>
            </w:r>
            <w:r>
              <w:rPr>
                <w:rFonts w:ascii="Times New Roman;serif" w:hAnsi="Times New Roman;serif"/>
                <w:b w:val="false"/>
                <w:color w:val="231F20"/>
                <w:sz w:val="13"/>
              </w:rPr>
              <w:t>resident, I (we) understand that the Securities Commissioner of Kansas recommends that Kansas investors limit my (our) aggregate</w:t>
            </w:r>
          </w:p>
          <w:p>
            <w:pPr>
              <w:pStyle w:val="TableContents"/>
              <w:bidi w:val="0"/>
              <w:spacing w:lineRule="atLeast" w:line="158" w:before="0" w:after="0"/>
              <w:ind w:left="0" w:right="0" w:hanging="180"/>
              <w:jc w:val="left"/>
              <w:rPr>
                <w:color w:val="231F20"/>
              </w:rPr>
            </w:pPr>
            <w:r>
              <w:rPr>
                <w:color w:val="231F20"/>
              </w:rPr>
              <w:t>  </w:t>
            </w:r>
            <w:r>
              <w:rPr>
                <w:rFonts w:ascii="Times New Roman;serif" w:hAnsi="Times New Roman;serif"/>
                <w:b w:val="false"/>
                <w:color w:val="231F20"/>
                <w:sz w:val="15"/>
              </w:rPr>
              <w:t>investment in FS Credit Real Estate Income Trust, Inc. and other similar investments to not more than 10% of their liquid net worth.</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22" w:after="283"/>
              <w:ind w:left="0" w:right="0" w:hanging="180"/>
              <w:jc w:val="left"/>
              <w:rPr/>
            </w:pPr>
            <w:r>
              <w:rPr>
                <w:rFonts w:ascii="Times New Roman;serif" w:hAnsi="Times New Roman;serif"/>
                <w:b w:val="false"/>
                <w:color w:val="231F20"/>
                <w:sz w:val="15"/>
              </w:rPr>
              <w:t xml:space="preserve">l) If I am (we are) a resident of </w:t>
            </w:r>
            <w:r>
              <w:rPr>
                <w:rFonts w:ascii="Times New Roman;serif" w:hAnsi="Times New Roman;serif"/>
                <w:b/>
                <w:color w:val="231F20"/>
                <w:sz w:val="15"/>
              </w:rPr>
              <w:t>Kentucky</w:t>
            </w:r>
            <w:r>
              <w:rPr>
                <w:rFonts w:ascii="Times New Roman;serif" w:hAnsi="Times New Roman;serif"/>
                <w:b w:val="false"/>
                <w:color w:val="231F20"/>
                <w:sz w:val="15"/>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4"/>
              </w:rPr>
              <w:t xml:space="preserve">m) If I am (we are) a resident of </w:t>
            </w:r>
            <w:r>
              <w:rPr>
                <w:rFonts w:ascii="Times New Roman;serif" w:hAnsi="Times New Roman;serif"/>
                <w:b/>
                <w:color w:val="231F20"/>
                <w:sz w:val="14"/>
              </w:rPr>
              <w:t>Maine</w:t>
            </w:r>
            <w:r>
              <w:rPr>
                <w:rFonts w:ascii="Times New Roman;serif" w:hAnsi="Times New Roman;serif"/>
                <w:b w:val="false"/>
                <w:color w:val="231F20"/>
                <w:sz w:val="14"/>
              </w:rPr>
              <w:t xml:space="preserve">, I (we) acknowledge that the Maine Office of Securities recommends that I (we) not invest more than 10% of my (our) </w:t>
            </w:r>
            <w:r>
              <w:rPr>
                <w:rFonts w:ascii="Times New Roman;serif" w:hAnsi="Times New Roman;serif"/>
                <w:b w:val="false"/>
                <w:color w:val="231F20"/>
                <w:sz w:val="15"/>
              </w:rPr>
              <w:t>liquid net worth in FS Credit Real Estate Income Trust, Inc. and other similar direct participation investments.</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tLeast" w:line="142" w:before="0" w:after="0"/>
              <w:ind w:left="0" w:right="0" w:hanging="180"/>
              <w:jc w:val="left"/>
              <w:rPr/>
            </w:pPr>
            <w:r>
              <w:rPr>
                <w:rFonts w:ascii="Times New Roman;serif" w:hAnsi="Times New Roman;serif"/>
                <w:b w:val="false"/>
                <w:color w:val="231F20"/>
                <w:sz w:val="14"/>
              </w:rPr>
              <w:t xml:space="preserve">n) If I am (we are) a resident of </w:t>
            </w:r>
            <w:r>
              <w:rPr>
                <w:rFonts w:ascii="Times New Roman;serif" w:hAnsi="Times New Roman;serif"/>
                <w:b/>
                <w:color w:val="231F20"/>
                <w:sz w:val="14"/>
              </w:rPr>
              <w:t>Massachusetts</w:t>
            </w:r>
            <w:r>
              <w:rPr>
                <w:rFonts w:ascii="Times New Roman;serif" w:hAnsi="Times New Roman;serif"/>
                <w:b w:val="false"/>
                <w:color w:val="231F20"/>
                <w:sz w:val="14"/>
              </w:rPr>
              <w:t xml:space="preserve">, I (we) certify that I (we) will not invest more than 10% of my (our) liquid net worth in FS Credit Real Estate </w:t>
            </w:r>
            <w:r>
              <w:rPr>
                <w:rFonts w:ascii="Times New Roman;serif" w:hAnsi="Times New Roman;serif"/>
                <w:b w:val="false"/>
                <w:color w:val="231F20"/>
                <w:sz w:val="15"/>
              </w:rPr>
              <w:t>Income Trust, Inc. and in other illiquid direct participation programs.</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tLeast" w:line="142" w:before="0" w:after="0"/>
              <w:ind w:left="0" w:right="0" w:hanging="180"/>
              <w:jc w:val="left"/>
              <w:rPr/>
            </w:pPr>
            <w:r>
              <w:rPr>
                <w:rFonts w:ascii="Times New Roman;serif" w:hAnsi="Times New Roman;serif"/>
                <w:b w:val="false"/>
                <w:color w:val="231F20"/>
                <w:sz w:val="14"/>
              </w:rPr>
              <w:t xml:space="preserve">o) If I am (we are) a resident of </w:t>
            </w:r>
            <w:r>
              <w:rPr>
                <w:rFonts w:ascii="Times New Roman;serif" w:hAnsi="Times New Roman;serif"/>
                <w:b/>
                <w:color w:val="231F20"/>
                <w:sz w:val="14"/>
              </w:rPr>
              <w:t xml:space="preserve">Minnesota, </w:t>
            </w:r>
            <w:r>
              <w:rPr>
                <w:rFonts w:ascii="Times New Roman;serif" w:hAnsi="Times New Roman;serif"/>
                <w:b w:val="false"/>
                <w:color w:val="231F20"/>
                <w:sz w:val="14"/>
              </w:rPr>
              <w:t>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3"/>
              </w:rPr>
              <w:t xml:space="preserve">p) If I am (we are) a resident of </w:t>
            </w:r>
            <w:r>
              <w:rPr>
                <w:rFonts w:ascii="Times New Roman;serif" w:hAnsi="Times New Roman;serif"/>
                <w:b/>
                <w:color w:val="231F20"/>
                <w:sz w:val="13"/>
              </w:rPr>
              <w:t>Missouri</w:t>
            </w:r>
            <w:r>
              <w:rPr>
                <w:rFonts w:ascii="Times New Roman;serif" w:hAnsi="Times New Roman;serif"/>
                <w:b w:val="false"/>
                <w:color w:val="231F20"/>
                <w:sz w:val="13"/>
              </w:rPr>
              <w:t xml:space="preserve">, I (we) certify that no more than ten percent (10%) of my (our) liquid net worth shall be invested in securities being </w:t>
            </w:r>
            <w:r>
              <w:rPr>
                <w:rFonts w:ascii="Times New Roman;serif" w:hAnsi="Times New Roman;serif"/>
                <w:b w:val="false"/>
                <w:color w:val="231F20"/>
                <w:sz w:val="15"/>
              </w:rPr>
              <w:t>registered in this offering.</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22" w:after="283"/>
              <w:ind w:left="0" w:right="0" w:hanging="180"/>
              <w:jc w:val="left"/>
              <w:rPr/>
            </w:pPr>
            <w:r>
              <w:rPr>
                <w:rFonts w:ascii="Times New Roman;serif" w:hAnsi="Times New Roman;serif"/>
                <w:b w:val="false"/>
                <w:color w:val="231F20"/>
                <w:sz w:val="15"/>
              </w:rPr>
              <w:t xml:space="preserve">q) If I am (we are) a resident of </w:t>
            </w:r>
            <w:r>
              <w:rPr>
                <w:rFonts w:ascii="Times New Roman;serif" w:hAnsi="Times New Roman;serif"/>
                <w:b/>
                <w:color w:val="231F20"/>
                <w:sz w:val="15"/>
              </w:rPr>
              <w:t>Nebraska</w:t>
            </w:r>
            <w:r>
              <w:rPr>
                <w:rFonts w:ascii="Times New Roman;serif" w:hAnsi="Times New Roman;serif"/>
                <w:b w:val="false"/>
                <w:color w:val="231F20"/>
                <w:sz w:val="15"/>
              </w:rPr>
              <w:t>, I (we) certify that I (we) either meet the definition of an “accredited investor” as defined in 17 C.F.R. §230.501 of Regulation D under the Securities Act of 1933, as amended, or will limit my (our) aggregate investment in FS Credit Real Estate Income Trust, Inc. shares and in other non-publicly traded real estate investment trusts to 10% of my (our) net worth (exclusive of home, home furnishings and automobiles).</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r) If I am (we are) a resident of </w:t>
            </w:r>
            <w:r>
              <w:rPr>
                <w:rFonts w:ascii="Times New Roman;serif" w:hAnsi="Times New Roman;serif"/>
                <w:b/>
                <w:color w:val="231F20"/>
                <w:sz w:val="15"/>
              </w:rPr>
              <w:t>New Jersey</w:t>
            </w:r>
            <w:r>
              <w:rPr>
                <w:rFonts w:ascii="Times New Roman;serif" w:hAnsi="Times New Roman;serif"/>
                <w:b w:val="false"/>
                <w:color w:val="231F20"/>
                <w:sz w:val="15"/>
              </w:rPr>
              <w:t>, I (we) certify that (1) I (we) have either (a) a minimum liquid net worth of $100,000 and a minimum annual gross income of $85,000, or (b) a minimum liquid net worth of $350,000, and (2) I (we) will not invest more than 10% of my (our) liquid net worth in FS Credit Real Estate Income Trust, Inc., its affiliates and other non-publicly traded direct investment programs (including real estate investment trusts, business development companies, oil and gas programs, equipment leasing programs, and commodity pools, but excluding unregistered, federally and state exempt private offerings). For these purposes, “liquid net worth” is defined as that portion of net worth (total assets exclusive of home, home furnishings and automobiles, minus total liabilities) that consists of cash, cash equivalents and readily marketable securities.</w:t>
            </w:r>
          </w:p>
          <w:p>
            <w:pPr>
              <w:pStyle w:val="TableContents"/>
              <w:bidi w:val="0"/>
              <w:spacing w:lineRule="auto" w:line="266" w:before="0" w:after="0"/>
              <w:ind w:left="0" w:right="0" w:hanging="180"/>
              <w:jc w:val="left"/>
              <w:rPr>
                <w:color w:val="231F20"/>
              </w:rPr>
            </w:pPr>
            <w:r>
              <w:rPr>
                <w:color w:val="231F20"/>
              </w:rPr>
              <w:t>     </w:t>
            </w:r>
          </w:p>
          <w:p>
            <w:pPr>
              <w:pStyle w:val="TableContents"/>
              <w:bidi w:val="0"/>
              <w:spacing w:lineRule="auto" w:line="266" w:before="0" w:after="0"/>
              <w:ind w:left="0" w:right="0" w:hanging="180"/>
              <w:jc w:val="left"/>
              <w:rPr>
                <w:color w:val="231F20"/>
              </w:rPr>
            </w:pPr>
            <w:r>
              <w:rPr>
                <w:color w:val="231F20"/>
              </w:rPr>
              <w:t>     </w:t>
            </w:r>
            <w:r>
              <w:rPr>
                <w:rFonts w:ascii="Times New Roman;serif" w:hAnsi="Times New Roman;serif"/>
                <w:b w:val="false"/>
                <w:color w:val="231F20"/>
                <w:sz w:val="15"/>
              </w:rPr>
              <w:t>I (we) acknowledge that a gross investment of $10,350 in Class T share, $10,350 in Class S shares, $10,000 in Class D shares, $10,000 in Class M shares and $10,000 in Class I shares, assuming a constant NAV per share of $25.00 and assuming applicable stockholder servicing fees are paid until gross proceeds limit are reached, would result in total upfront selling commissions, dealer manager fees, and stockholder servicing fees of (a) $906 over 6.5 years for Class T and Class S shares, (b) $125 over 4.2 years for Class D shares, (c) $725 over 24.2 years for Class M shares, and (d) $0 for Class I shares.</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s) If I am (we are) a resident of </w:t>
            </w:r>
            <w:r>
              <w:rPr>
                <w:rFonts w:ascii="Times New Roman;serif" w:hAnsi="Times New Roman;serif"/>
                <w:b/>
                <w:color w:val="231F20"/>
                <w:sz w:val="15"/>
              </w:rPr>
              <w:t>New Mexico</w:t>
            </w:r>
            <w:r>
              <w:rPr>
                <w:rFonts w:ascii="Times New Roman;serif" w:hAnsi="Times New Roman;serif"/>
                <w:b w:val="false"/>
                <w:color w:val="231F20"/>
                <w:sz w:val="15"/>
              </w:rPr>
              <w:t>, I (we) certify that I (we) either meet the definition of an “accredited investor” as defined in 17 C.F.R. §230.501 of Regulation D under the Securities Act of 1933, as amended, or that I (we) will not invest more than 10% of my (our) liquid net worth in FS Credit Real Estate Income Trust, Inc. shares, shares of its affiliates and other non-traded real estate investment trusts.</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3"/>
              </w:rPr>
              <w:t xml:space="preserve">t) If I am (we are) a resident of </w:t>
            </w:r>
            <w:r>
              <w:rPr>
                <w:rFonts w:ascii="Times New Roman;serif" w:hAnsi="Times New Roman;serif"/>
                <w:b/>
                <w:color w:val="231F20"/>
                <w:sz w:val="13"/>
              </w:rPr>
              <w:t>North Dakota</w:t>
            </w:r>
            <w:r>
              <w:rPr>
                <w:rFonts w:ascii="Times New Roman;serif" w:hAnsi="Times New Roman;serif"/>
                <w:b w:val="false"/>
                <w:color w:val="231F20"/>
                <w:sz w:val="13"/>
              </w:rPr>
              <w:t xml:space="preserve">, I (we) certify that I (we) have a net worth of at least ten times my (our) investment in FS Credit Real Estate </w:t>
            </w:r>
            <w:r>
              <w:rPr>
                <w:rFonts w:ascii="Times New Roman;serif" w:hAnsi="Times New Roman;serif"/>
                <w:b w:val="false"/>
                <w:color w:val="231F20"/>
                <w:sz w:val="15"/>
              </w:rPr>
              <w:t>Income Trust, Inc.</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22" w:after="283"/>
              <w:ind w:left="0" w:right="0" w:hanging="180"/>
              <w:jc w:val="left"/>
              <w:rPr/>
            </w:pPr>
            <w:r>
              <w:rPr>
                <w:rFonts w:ascii="Times New Roman;serif" w:hAnsi="Times New Roman;serif"/>
                <w:b w:val="false"/>
                <w:color w:val="231F20"/>
                <w:sz w:val="15"/>
              </w:rPr>
              <w:t xml:space="preserve">u) If I am (we are) a resident of </w:t>
            </w:r>
            <w:r>
              <w:rPr>
                <w:rFonts w:ascii="Times New Roman;serif" w:hAnsi="Times New Roman;serif"/>
                <w:b/>
                <w:color w:val="231F20"/>
                <w:sz w:val="15"/>
              </w:rPr>
              <w:t>Ohio</w:t>
            </w:r>
            <w:r>
              <w:rPr>
                <w:rFonts w:ascii="Times New Roman;serif" w:hAnsi="Times New Roman;serif"/>
                <w:b w:val="false"/>
                <w:color w:val="231F20"/>
                <w:sz w:val="15"/>
              </w:rPr>
              <w:t>, I (we) certify that I (we) either meet the definition of an “accredited investor” as defined in 17 C.F.R. §230.501 of Regulation D under the Securities Act of 1933, as amended, or that I (we) will not invest more than 10% of my (our) liquid net worth in FS Credit Real Estate Income Trust, Inc. shares, its affiliates and any other non-traded real estate investment trusts.</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v) If I am (we are) a non-accredited resident of </w:t>
            </w:r>
            <w:r>
              <w:rPr>
                <w:rFonts w:ascii="Times New Roman;serif" w:hAnsi="Times New Roman;serif"/>
                <w:b/>
                <w:color w:val="231F20"/>
                <w:sz w:val="15"/>
              </w:rPr>
              <w:t>Oregon</w:t>
            </w:r>
            <w:r>
              <w:rPr>
                <w:rFonts w:ascii="Times New Roman;serif" w:hAnsi="Times New Roman;serif"/>
                <w:b w:val="false"/>
                <w:color w:val="231F20"/>
                <w:sz w:val="15"/>
              </w:rPr>
              <w:t>, I (we) certify that I (we) will not invest more than 10% of my (our) liquid net worth in this offering. For these purposes, “liquid net worth” is defined as an investor’s total assets (excluding home, home furnishings, and automobiles) minus total liabilities. Oregon investors who meet the definition of “accredited investor” as defined in Regulation D under the Securities Act of 1933, as amended, are not subject to the limitation described in this paragraph.</w:t>
            </w:r>
          </w:p>
        </w:tc>
        <w:tc>
          <w:tcPr>
            <w:tcW w:w="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6" w:before="16" w:after="283"/>
              <w:ind w:left="0" w:right="0" w:hanging="180"/>
              <w:jc w:val="left"/>
              <w:rPr/>
            </w:pPr>
            <w:r>
              <w:rPr>
                <w:rFonts w:ascii="Times New Roman;serif" w:hAnsi="Times New Roman;serif"/>
                <w:b w:val="false"/>
                <w:color w:val="231F20"/>
                <w:sz w:val="15"/>
              </w:rPr>
              <w:t xml:space="preserve">w) If I am (we are) a resident of </w:t>
            </w:r>
            <w:r>
              <w:rPr>
                <w:rFonts w:ascii="Times New Roman;serif" w:hAnsi="Times New Roman;serif"/>
                <w:b/>
                <w:color w:val="231F20"/>
                <w:sz w:val="15"/>
              </w:rPr>
              <w:t>Puerto Rico</w:t>
            </w:r>
            <w:r>
              <w:rPr>
                <w:rFonts w:ascii="Times New Roman;serif" w:hAnsi="Times New Roman;serif"/>
                <w:b w:val="false"/>
                <w:color w:val="231F20"/>
                <w:sz w:val="15"/>
              </w:rPr>
              <w:t>, I (we) may not invest more than 10% of my (our) liquid net worth in the FS Credit Real Estate Income Trust, Inc., its affiliates and other non-traded REITs. “Liquid net worth” is defined as that portion of net worth (total assets exclusive of primary residence, home furnishings, and automobiles minus total liabilities) consisting of cash, cash equivalents, and readily marketable securities.</w:t>
            </w:r>
          </w:p>
        </w:tc>
        <w:tc>
          <w:tcPr>
            <w:tcW w:w="62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000000"/>
              <w:left w:val="single" w:sz="8"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7170"/>
                <wp:effectExtent l="0" t="0" r="0" b="0"/>
                <wp:wrapNone/>
                <wp:docPr id="13" name="Frame10"/>
                <a:graphic xmlns:a="http://schemas.openxmlformats.org/drawingml/2006/main">
                  <a:graphicData uri="http://schemas.microsoft.com/office/word/2010/wordprocessingShape">
                    <wps:wsp>
                      <wps:cNvSpPr txBox="1"/>
                      <wps:spPr>
                        <a:xfrm>
                          <a:off x="0" y="0"/>
                          <a:ext cx="6480175" cy="217170"/>
                        </a:xfrm>
                        <a:prstGeom prst="rect"/>
                        <a:solidFill>
                          <a:srgbClr val="FFFFFF"/>
                        </a:solidFill>
                      </wps:spPr>
                      <wps:txbx>
                        <w:txbxContent>
                          <w:p>
                            <w:pPr>
                              <w:pStyle w:val="TextBody"/>
                              <w:bidi w:val="0"/>
                              <w:spacing w:before="66"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6" w:after="283"/>
                        <w:jc w:val="right"/>
                        <w:rPr/>
                      </w:pPr>
                      <w:r>
                        <w:rPr/>
                      </w:r>
                    </w:p>
                  </w:txbxContent>
                </v:textbox>
                <w10:wrap type="none"/>
              </v:rect>
            </w:pict>
          </mc:Fallback>
        </mc:AlternateContent>
      </w:r>
    </w:p>
    <w:tbl>
      <w:tblPr>
        <w:tblW w:w="8400" w:type="dxa"/>
        <w:jc w:val="left"/>
        <w:tblInd w:w="0" w:type="dxa"/>
        <w:tblLayout w:type="fixed"/>
        <w:tblCellMar>
          <w:top w:w="28" w:type="dxa"/>
          <w:left w:w="28" w:type="dxa"/>
          <w:bottom w:w="28" w:type="dxa"/>
          <w:right w:w="28" w:type="dxa"/>
        </w:tblCellMar>
      </w:tblPr>
      <w:tblGrid>
        <w:gridCol w:w="2690"/>
        <w:gridCol w:w="2360"/>
        <w:gridCol w:w="3350"/>
      </w:tblGrid>
      <w:tr>
        <w:trPr/>
        <w:tc>
          <w:tcPr>
            <w:tcW w:w="26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8400" w:type="dxa"/>
            <w:gridSpan w:val="3"/>
            <w:tcBorders/>
            <w:tcMar>
              <w:top w:w="0" w:type="dxa"/>
              <w:left w:w="0" w:type="dxa"/>
              <w:bottom w:w="0" w:type="dxa"/>
              <w:right w:w="0" w:type="dxa"/>
            </w:tcMar>
            <w:vAlign w:val="center"/>
          </w:tcPr>
          <w:p>
            <w:pPr>
              <w:pStyle w:val="TableContents"/>
              <w:bidi w:val="0"/>
              <w:spacing w:lineRule="auto" w:line="288" w:before="51" w:after="283"/>
              <w:jc w:val="left"/>
              <w:rPr>
                <w:rFonts w:ascii="Times New Roman;serif" w:hAnsi="Times New Roman;serif"/>
                <w:b w:val="false"/>
                <w:color w:val="231F20"/>
                <w:sz w:val="16"/>
              </w:rPr>
            </w:pPr>
            <w:r>
              <w:rPr>
                <w:rFonts w:ascii="Times New Roman;serif" w:hAnsi="Times New Roman;serif"/>
                <w:b w:val="false"/>
                <w:color w:val="231F20"/>
                <w:sz w:val="16"/>
              </w:rPr>
              <w:t>FS Credit Real Estate Income Trust, Inc. – Subscription Agreement | Class D, Class I, Class M, Class S and Class T V6.3</w:t>
            </w:r>
          </w:p>
        </w:tc>
      </w:tr>
    </w:tbl>
    <w:tbl>
      <w:tblPr>
        <w:tblW w:w="10205" w:type="dxa"/>
        <w:jc w:val="left"/>
        <w:tblInd w:w="0" w:type="dxa"/>
        <w:tblLayout w:type="fixed"/>
        <w:tblCellMar>
          <w:top w:w="28" w:type="dxa"/>
          <w:left w:w="28" w:type="dxa"/>
          <w:bottom w:w="28" w:type="dxa"/>
          <w:right w:w="28" w:type="dxa"/>
        </w:tblCellMar>
      </w:tblPr>
      <w:tblGrid>
        <w:gridCol w:w="3217"/>
        <w:gridCol w:w="2822"/>
        <w:gridCol w:w="2835"/>
        <w:gridCol w:w="209"/>
        <w:gridCol w:w="209"/>
        <w:gridCol w:w="210"/>
        <w:gridCol w:w="204"/>
        <w:gridCol w:w="204"/>
        <w:gridCol w:w="295"/>
      </w:tblGrid>
      <w:tr>
        <w:trPr/>
        <w:tc>
          <w:tcPr>
            <w:tcW w:w="3217"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8874" w:type="dxa"/>
            <w:gridSpan w:val="3"/>
            <w:tcBorders/>
            <w:shd w:fill="231F20" w:val="clear"/>
            <w:tcMar>
              <w:top w:w="0" w:type="dxa"/>
              <w:left w:w="0" w:type="dxa"/>
              <w:bottom w:w="0" w:type="dxa"/>
              <w:right w:w="0" w:type="dxa"/>
            </w:tcMar>
            <w:vAlign w:val="center"/>
          </w:tcPr>
          <w:p>
            <w:pPr>
              <w:pStyle w:val="TableContents"/>
              <w:bidi w:val="0"/>
              <w:spacing w:lineRule="atLeast" w:line="311" w:before="5" w:after="283"/>
              <w:jc w:val="left"/>
              <w:rPr/>
            </w:pPr>
            <w:r>
              <w:rPr>
                <w:color w:val="FFFFFF"/>
              </w:rPr>
              <w:t> </w:t>
            </w:r>
            <w:r>
              <w:rPr>
                <w:rFonts w:ascii="Times New Roman;serif" w:hAnsi="Times New Roman;serif"/>
                <w:b w:val="false"/>
                <w:color w:val="FFFFFF"/>
                <w:sz w:val="22"/>
                <w:shd w:fill="231F20" w:val="clear"/>
              </w:rPr>
              <w:t>8</w:t>
            </w:r>
            <w:r>
              <w:rPr>
                <w:color w:val="FFFFFF"/>
              </w:rPr>
              <w:t xml:space="preserve"> </w:t>
            </w:r>
            <w:r>
              <w:rPr>
                <w:rFonts w:ascii="Times New Roman;serif" w:hAnsi="Times New Roman;serif"/>
                <w:b w:val="false"/>
                <w:color w:val="FFFFFF"/>
                <w:sz w:val="22"/>
                <w:shd w:fill="231F20" w:val="clear"/>
              </w:rPr>
              <w:t>Investor</w:t>
            </w:r>
            <w:r>
              <w:rPr>
                <w:color w:val="FFFFFF"/>
              </w:rPr>
              <w:t xml:space="preserve"> </w:t>
            </w:r>
            <w:r>
              <w:rPr>
                <w:rFonts w:ascii="Times New Roman;serif" w:hAnsi="Times New Roman;serif"/>
                <w:b w:val="false"/>
                <w:color w:val="FFFFFF"/>
                <w:sz w:val="22"/>
                <w:shd w:fill="231F20" w:val="clear"/>
              </w:rPr>
              <w:t>representations</w:t>
            </w:r>
            <w:r>
              <w:rPr>
                <w:color w:val="FFFFFF"/>
              </w:rPr>
              <w:t xml:space="preserve"> </w:t>
            </w:r>
            <w:r>
              <w:rPr>
                <w:rFonts w:ascii="Times New Roman;serif" w:hAnsi="Times New Roman;serif"/>
                <w:b w:val="false"/>
                <w:color w:val="FFFFFF"/>
                <w:sz w:val="18"/>
                <w:shd w:fill="231F20" w:val="clear"/>
              </w:rPr>
              <w:t>(continued)</w:t>
            </w:r>
            <w:r>
              <w:rPr>
                <w:color w:val="FFFFFF"/>
              </w:rPr>
              <w:t>    </w:t>
            </w:r>
          </w:p>
        </w:tc>
        <w:tc>
          <w:tcPr>
            <w:tcW w:w="628"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4" w:type="dxa"/>
            <w:gridSpan w:val="3"/>
            <w:tcBorders/>
            <w:tcMar>
              <w:top w:w="0" w:type="dxa"/>
              <w:left w:w="0" w:type="dxa"/>
              <w:bottom w:w="0" w:type="dxa"/>
              <w:right w:w="0" w:type="dxa"/>
            </w:tcMar>
            <w:vAlign w:val="center"/>
          </w:tcPr>
          <w:p>
            <w:pPr>
              <w:pStyle w:val="TableContents"/>
              <w:bidi w:val="0"/>
              <w:spacing w:before="127" w:after="283"/>
              <w:jc w:val="left"/>
              <w:rPr/>
            </w:pPr>
            <w:r>
              <w:rPr/>
            </w:r>
          </w:p>
          <w:p>
            <w:pPr>
              <w:pStyle w:val="TableContents"/>
              <w:bidi w:val="0"/>
              <w:spacing w:lineRule="auto" w:line="288" w:before="0" w:after="0"/>
              <w:jc w:val="left"/>
              <w:rPr>
                <w:rFonts w:ascii="Times New Roman;serif" w:hAnsi="Times New Roman;serif"/>
                <w:b w:val="false"/>
                <w:color w:val="231F20"/>
                <w:sz w:val="17"/>
              </w:rPr>
            </w:pPr>
            <w:r>
              <w:rPr>
                <w:rFonts w:ascii="Times New Roman;serif" w:hAnsi="Times New Roman;serif"/>
                <w:b w:val="false"/>
                <w:color w:val="231F20"/>
                <w:sz w:val="17"/>
              </w:rPr>
              <w:t>Initials are required based on State of Legal Residency</w:t>
            </w:r>
          </w:p>
        </w:tc>
        <w:tc>
          <w:tcPr>
            <w:tcW w:w="6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Owner</w:t>
            </w:r>
          </w:p>
          <w:p>
            <w:pPr>
              <w:pStyle w:val="TableContents"/>
              <w:bidi w:val="0"/>
              <w:spacing w:lineRule="atLeast" w:line="142" w:before="0" w:after="0"/>
              <w:jc w:val="center"/>
              <w:rPr>
                <w:rFonts w:ascii="Times New Roman;serif" w:hAnsi="Times New Roman;serif"/>
                <w:b w:val="false"/>
                <w:color w:val="231F20"/>
                <w:sz w:val="16"/>
              </w:rPr>
            </w:pPr>
            <w:r>
              <w:rPr>
                <w:rFonts w:ascii="Times New Roman;serif" w:hAnsi="Times New Roman;serif"/>
                <w:b w:val="false"/>
                <w:color w:val="231F20"/>
                <w:sz w:val="16"/>
              </w:rPr>
              <w:t>(initials)</w:t>
            </w:r>
          </w:p>
        </w:tc>
        <w:tc>
          <w:tcPr>
            <w:tcW w:w="7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Joint owner</w:t>
            </w:r>
          </w:p>
          <w:p>
            <w:pPr>
              <w:pStyle w:val="TableContents"/>
              <w:bidi w:val="0"/>
              <w:spacing w:lineRule="auto" w:line="288" w:before="2" w:after="283"/>
              <w:jc w:val="center"/>
              <w:rPr>
                <w:rFonts w:ascii="Times New Roman;serif" w:hAnsi="Times New Roman;serif"/>
                <w:b w:val="false"/>
                <w:color w:val="231F20"/>
                <w:sz w:val="16"/>
              </w:rPr>
            </w:pPr>
            <w:r>
              <w:rPr>
                <w:rFonts w:ascii="Times New Roman;serif" w:hAnsi="Times New Roman;serif"/>
                <w:b w:val="false"/>
                <w:color w:val="231F20"/>
                <w:sz w:val="16"/>
              </w:rPr>
              <w:t>initials)</w:t>
            </w:r>
          </w:p>
        </w:tc>
      </w:tr>
      <w:tr>
        <w:trPr/>
        <w:tc>
          <w:tcPr>
            <w:tcW w:w="8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x) If I am (we are) a resident of </w:t>
            </w:r>
            <w:r>
              <w:rPr>
                <w:rFonts w:ascii="Times New Roman;serif" w:hAnsi="Times New Roman;serif"/>
                <w:b/>
                <w:color w:val="231F20"/>
                <w:sz w:val="15"/>
              </w:rPr>
              <w:t>Tennessee</w:t>
            </w:r>
            <w:r>
              <w:rPr>
                <w:rFonts w:ascii="Times New Roman;serif" w:hAnsi="Times New Roman;serif"/>
                <w:b w:val="false"/>
                <w:color w:val="231F20"/>
                <w:sz w:val="15"/>
              </w:rPr>
              <w:t>, I (we) certify that I (we) either meet the definition of an “accredited investor” as defined in 17 C.F.R. §230.501 of Regulation D under the Securities Act of 1933, as amended, or that I (we) will not invest more than 10% of my (our) net worth in FS Credit Real Estate Income Trust, Inc.</w:t>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8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y) If I am (we are) a resident of </w:t>
            </w:r>
            <w:r>
              <w:rPr>
                <w:rFonts w:ascii="Times New Roman;serif" w:hAnsi="Times New Roman;serif"/>
                <w:b/>
                <w:color w:val="231F20"/>
                <w:sz w:val="15"/>
              </w:rPr>
              <w:t>Vermont</w:t>
            </w:r>
            <w:r>
              <w:rPr>
                <w:rFonts w:ascii="Times New Roman;serif" w:hAnsi="Times New Roman;serif"/>
                <w:b w:val="false"/>
                <w:color w:val="231F20"/>
                <w:sz w:val="15"/>
              </w:rPr>
              <w:t>, I (we) certify that I (we) either meet the definition of an “accredited investor” as defined in 17 C.F.R. §230.501 of Regulation D under the Securities Act of 1933, as amended, or that I (we) will not invest more than 10% of my (our) liquid net worth in this offering. For these purposes, “liquid net worth” is defined as an investor’s total assets (not including home, home furnishings, or automobiles) minus total liabilities.</w:t>
            </w:r>
          </w:p>
        </w:tc>
        <w:tc>
          <w:tcPr>
            <w:tcW w:w="62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2"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887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6" w:before="0" w:after="0"/>
              <w:ind w:left="0" w:right="0" w:hanging="180"/>
              <w:jc w:val="left"/>
              <w:rPr/>
            </w:pPr>
            <w:r>
              <w:rPr>
                <w:rFonts w:ascii="Times New Roman;serif" w:hAnsi="Times New Roman;serif"/>
                <w:b w:val="false"/>
                <w:color w:val="231F20"/>
                <w:sz w:val="15"/>
              </w:rPr>
              <w:t xml:space="preserve">z) If I am (we are) a resident of </w:t>
            </w:r>
            <w:r>
              <w:rPr>
                <w:rFonts w:ascii="Times New Roman;serif" w:hAnsi="Times New Roman;serif"/>
                <w:b/>
                <w:color w:val="231F20"/>
                <w:sz w:val="15"/>
              </w:rPr>
              <w:t>Washington</w:t>
            </w:r>
            <w:r>
              <w:rPr>
                <w:rFonts w:ascii="Times New Roman;serif" w:hAnsi="Times New Roman;serif"/>
                <w:b w:val="false"/>
                <w:color w:val="231F20"/>
                <w:sz w:val="15"/>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tc>
        <w:tc>
          <w:tcPr>
            <w:tcW w:w="62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2" w:space="0" w:color="000000"/>
              <w:left w:val="single" w:sz="8"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31F20" w:val="clear"/>
            <w:tcMar>
              <w:top w:w="0" w:type="dxa"/>
              <w:left w:w="0" w:type="dxa"/>
              <w:bottom w:w="0" w:type="dxa"/>
              <w:right w:w="0" w:type="dxa"/>
            </w:tcMar>
            <w:vAlign w:val="center"/>
          </w:tcPr>
          <w:p>
            <w:pPr>
              <w:pStyle w:val="TableContents"/>
              <w:bidi w:val="0"/>
              <w:spacing w:lineRule="auto" w:line="288" w:before="5" w:after="283"/>
              <w:jc w:val="left"/>
              <w:rPr/>
            </w:pPr>
            <w:r>
              <w:rPr>
                <w:color w:val="FFFFFF"/>
              </w:rPr>
              <w:t> </w:t>
            </w:r>
            <w:r>
              <w:rPr>
                <w:rFonts w:ascii="Times New Roman;serif" w:hAnsi="Times New Roman;serif"/>
                <w:b w:val="false"/>
                <w:color w:val="FFFFFF"/>
                <w:sz w:val="22"/>
                <w:shd w:fill="231F20" w:val="clear"/>
              </w:rPr>
              <w:t>9</w:t>
            </w:r>
            <w:r>
              <w:rPr>
                <w:color w:val="FFFFFF"/>
              </w:rPr>
              <w:t xml:space="preserve"> </w:t>
            </w:r>
            <w:r>
              <w:rPr>
                <w:rFonts w:ascii="Times New Roman;serif" w:hAnsi="Times New Roman;serif"/>
                <w:b w:val="false"/>
                <w:color w:val="FFFFFF"/>
                <w:sz w:val="22"/>
                <w:shd w:fill="231F20" w:val="clear"/>
              </w:rPr>
              <w:t>Important</w:t>
            </w:r>
            <w:r>
              <w:rPr>
                <w:color w:val="FFFFFF"/>
              </w:rPr>
              <w:t xml:space="preserve"> </w:t>
            </w:r>
            <w:r>
              <w:rPr>
                <w:rFonts w:ascii="Times New Roman;serif" w:hAnsi="Times New Roman;serif"/>
                <w:b w:val="false"/>
                <w:color w:val="FFFFFF"/>
                <w:sz w:val="22"/>
                <w:shd w:fill="231F20" w:val="clear"/>
              </w:rPr>
              <w:t>information</w:t>
            </w:r>
            <w:r>
              <w:rPr>
                <w:color w:val="FFFFFF"/>
              </w:rPr>
              <w:t xml:space="preserve"> </w:t>
            </w:r>
            <w:r>
              <w:rPr>
                <w:rFonts w:ascii="Times New Roman;serif" w:hAnsi="Times New Roman;serif"/>
                <w:b w:val="false"/>
                <w:color w:val="FFFFFF"/>
                <w:sz w:val="18"/>
                <w:shd w:fill="231F20" w:val="clear"/>
              </w:rPr>
              <w:t>Rights,</w:t>
            </w:r>
            <w:r>
              <w:rPr>
                <w:color w:val="FFFFFF"/>
              </w:rPr>
              <w:t xml:space="preserve"> </w:t>
            </w:r>
            <w:r>
              <w:rPr>
                <w:rFonts w:ascii="Times New Roman;serif" w:hAnsi="Times New Roman;serif"/>
                <w:b w:val="false"/>
                <w:color w:val="FFFFFF"/>
                <w:sz w:val="18"/>
                <w:shd w:fill="231F20" w:val="clear"/>
              </w:rPr>
              <w:t>certifications</w:t>
            </w:r>
            <w:r>
              <w:rPr>
                <w:color w:val="FFFFFF"/>
              </w:rPr>
              <w:t xml:space="preserve"> </w:t>
            </w:r>
            <w:r>
              <w:rPr>
                <w:rFonts w:ascii="Times New Roman;serif" w:hAnsi="Times New Roman;serif"/>
                <w:b w:val="false"/>
                <w:color w:val="FFFFFF"/>
                <w:sz w:val="18"/>
                <w:shd w:fill="231F20" w:val="clear"/>
              </w:rPr>
              <w:t>and</w:t>
            </w:r>
            <w:r>
              <w:rPr>
                <w:color w:val="FFFFFF"/>
              </w:rPr>
              <w:t xml:space="preserve"> </w:t>
            </w:r>
            <w:r>
              <w:rPr>
                <w:rFonts w:ascii="Times New Roman;serif" w:hAnsi="Times New Roman;serif"/>
                <w:b w:val="false"/>
                <w:color w:val="FFFFFF"/>
                <w:sz w:val="18"/>
                <w:shd w:fill="231F20" w:val="clear"/>
              </w:rPr>
              <w:t>authorizations</w:t>
            </w:r>
            <w:r>
              <w:rPr>
                <w:color w:val="FFFFFF"/>
              </w:rPr>
              <w:t>    </w:t>
            </w:r>
          </w:p>
        </w:tc>
      </w:tr>
      <w:tr>
        <w:trPr/>
        <w:tc>
          <w:tcPr>
            <w:tcW w:w="10205" w:type="dxa"/>
            <w:gridSpan w:val="3"/>
            <w:tcBorders/>
            <w:shd w:fill="DCDDDE" w:val="clear"/>
            <w:tcMar>
              <w:top w:w="0" w:type="dxa"/>
              <w:left w:w="0" w:type="dxa"/>
              <w:bottom w:w="0" w:type="dxa"/>
              <w:right w:w="0" w:type="dxa"/>
            </w:tcMar>
            <w:vAlign w:val="center"/>
          </w:tcPr>
          <w:p>
            <w:pPr>
              <w:pStyle w:val="TableContents"/>
              <w:bidi w:val="0"/>
              <w:spacing w:lineRule="auto" w:line="288" w:before="71" w:after="283"/>
              <w:jc w:val="left"/>
              <w:rPr>
                <w:rFonts w:ascii="Times New Roman;serif" w:hAnsi="Times New Roman;serif"/>
                <w:b w:val="false"/>
                <w:color w:val="231F20"/>
                <w:sz w:val="16"/>
              </w:rPr>
            </w:pPr>
            <w:r>
              <w:rPr>
                <w:rFonts w:ascii="Times New Roman;serif" w:hAnsi="Times New Roman;serif"/>
                <w:b w:val="false"/>
                <w:color w:val="231F20"/>
                <w:sz w:val="16"/>
              </w:rPr>
              <w:t>Substitute IRS Form W-9 Certification:</w:t>
            </w:r>
          </w:p>
          <w:p>
            <w:pPr>
              <w:pStyle w:val="TableContents"/>
              <w:bidi w:val="0"/>
              <w:spacing w:lineRule="auto" w:line="321" w:before="53" w:after="283"/>
              <w:jc w:val="left"/>
              <w:rPr>
                <w:rFonts w:ascii="Times New Roman;serif" w:hAnsi="Times New Roman;serif"/>
                <w:b w:val="false"/>
                <w:color w:val="231F20"/>
                <w:sz w:val="12"/>
              </w:rPr>
            </w:pPr>
            <w:r>
              <w:rPr>
                <w:rFonts w:ascii="Times New Roman;serif" w:hAnsi="Times New Roman;serif"/>
                <w:b w:val="false"/>
                <w:color w:val="231F20"/>
                <w:sz w:val="12"/>
              </w:rPr>
              <w:t>I (We) declare that the information supplied in this Subscription Agreement is true and correct and may be relied upon by the Company in connection with my (our) investment in the Company. Under penalties of perjury, each investor signing below certifies that (1) the number shown in the Investor Social Security number/taxpayer identification number field in section 5 of this form is my correct taxpayer identification number (or I am waiting for a number to be issued to me), (2) I am not subject to backup withholding because (a) I am exempt from backup withholding, (b) I have not been notified by the Internal Revenue Service (IRS) that I am subject to backup</w:t>
            </w:r>
          </w:p>
          <w:p>
            <w:pPr>
              <w:pStyle w:val="TableContents"/>
              <w:bidi w:val="0"/>
              <w:spacing w:lineRule="auto" w:line="321" w:before="0" w:after="0"/>
              <w:jc w:val="left"/>
              <w:rPr>
                <w:rFonts w:ascii="Times New Roman;serif" w:hAnsi="Times New Roman;serif"/>
                <w:b w:val="false"/>
                <w:color w:val="231F20"/>
                <w:sz w:val="12"/>
              </w:rPr>
            </w:pPr>
            <w:r>
              <w:rPr>
                <w:rFonts w:ascii="Times New Roman;serif" w:hAnsi="Times New Roman;serif"/>
                <w:b w:val="false"/>
                <w:color w:val="231F20"/>
                <w:sz w:val="12"/>
              </w:rPr>
              <w:t>withholding as a result of a failure to report all interest or dividends, or (c) the IRS has notified me that I am no longer subject to backup withholding, (3) I am a U.S. person (including a non-resident alien), and (4) the entity is exempt from FATCA reporting (if applicable).</w:t>
            </w:r>
          </w:p>
          <w:p>
            <w:pPr>
              <w:pStyle w:val="TableContents"/>
              <w:bidi w:val="0"/>
              <w:spacing w:lineRule="auto" w:line="264" w:before="27" w:after="283"/>
              <w:jc w:val="left"/>
              <w:rPr>
                <w:rFonts w:ascii="Times New Roman;serif" w:hAnsi="Times New Roman;serif"/>
                <w:b/>
                <w:color w:val="231F20"/>
                <w:sz w:val="12"/>
              </w:rPr>
            </w:pPr>
            <w:r>
              <w:rPr>
                <w:rFonts w:ascii="Times New Roman;serif" w:hAnsi="Times New Roman;serif"/>
                <w:b/>
                <w:color w:val="231F20"/>
                <w:sz w:val="12"/>
              </w:rPr>
              <w:t>NOTE: You must cross out item (2) above if you have been notified by the IRS that you are currently subject to backup withholding because you have failed to report all interest and dividends on your tax return.</w:t>
            </w:r>
          </w:p>
        </w:tc>
      </w:tr>
      <w:tr>
        <w:trPr/>
        <w:tc>
          <w:tcPr>
            <w:tcW w:w="10205" w:type="dxa"/>
            <w:gridSpan w:val="3"/>
            <w:tcBorders/>
            <w:tcMar>
              <w:top w:w="0" w:type="dxa"/>
              <w:left w:w="0" w:type="dxa"/>
              <w:bottom w:w="0" w:type="dxa"/>
              <w:right w:w="0" w:type="dxa"/>
            </w:tcMar>
            <w:vAlign w:val="center"/>
          </w:tcPr>
          <w:p>
            <w:pPr>
              <w:pStyle w:val="TableContents"/>
              <w:bidi w:val="0"/>
              <w:spacing w:lineRule="atLeast" w:line="146" w:before="117" w:after="283"/>
              <w:jc w:val="left"/>
              <w:rPr/>
            </w:pPr>
            <w:r>
              <w:rPr>
                <w:rFonts w:ascii="Times New Roman;serif" w:hAnsi="Times New Roman;serif"/>
                <w:b/>
                <w:color w:val="231F20"/>
                <w:sz w:val="14"/>
              </w:rPr>
              <w:t>By signing below, you hereby acknowledge receipt of the Prospectus of the Company relating to the Shares for which you have subscribed, as supplemented and amended through the date hereof (as so supplemented and amended, the “Prospectus”), not less than five (5) business days prior to the signing of this Subscription Agreement.</w:t>
            </w:r>
            <w:r>
              <w:rPr>
                <w:color w:val="231F20"/>
              </w:rPr>
              <w:t xml:space="preserve"> </w:t>
            </w:r>
            <w:r>
              <w:rPr>
                <w:rFonts w:ascii="Times New Roman;serif" w:hAnsi="Times New Roman;serif"/>
                <w:b w:val="false"/>
                <w:color w:val="231F20"/>
                <w:sz w:val="14"/>
              </w:rPr>
              <w:t xml:space="preserve">The Prospectus is available at </w:t>
            </w:r>
            <w:r>
              <w:rPr>
                <w:rFonts w:ascii="Times New Roman;serif" w:hAnsi="Times New Roman;serif"/>
                <w:b w:val="false"/>
                <w:color w:val="231F20"/>
                <w:sz w:val="14"/>
                <w:u w:val="single"/>
              </w:rPr>
              <w:t>www.sec.gov</w:t>
            </w:r>
            <w:r>
              <w:rPr>
                <w:rFonts w:ascii="Times New Roman;serif" w:hAnsi="Times New Roman;serif"/>
                <w:b w:val="false"/>
                <w:color w:val="231F20"/>
                <w:sz w:val="14"/>
              </w:rPr>
              <w:t>. You are encouraged to read the Prospectus carefully before making any investment decisions. You agree that subscriptions may be rejected in whole or in part by the Company at its sole and absolute discretion. To be accepted, a subscription must be made with this completed and executed Subscription Agreement in good order and payment of the full purchase price at least five business days prior to the first calendar day of the month (unless waived). You agree that if this subscription is accepted, it will be held, together with the accompanying payment, on the terms described in the Prospectus. You understand that you will receive a written confirmation of your purchase, subject to acceptance by the Company, and that the sale of Shares pursuant to this Subscription Agreement will not be effective until at least five (5) business days after the date you have received a Prospectus.</w:t>
            </w:r>
          </w:p>
          <w:p>
            <w:pPr>
              <w:pStyle w:val="TableContents"/>
              <w:bidi w:val="0"/>
              <w:spacing w:lineRule="auto" w:line="292" w:before="39" w:after="283"/>
              <w:jc w:val="left"/>
              <w:rPr>
                <w:rFonts w:ascii="Times New Roman;serif" w:hAnsi="Times New Roman;serif"/>
                <w:b w:val="false"/>
                <w:color w:val="231F20"/>
                <w:sz w:val="14"/>
              </w:rPr>
            </w:pPr>
            <w:r>
              <w:rPr>
                <w:rFonts w:ascii="Times New Roman;serif" w:hAnsi="Times New Roman;serif"/>
                <w:b w:val="false"/>
                <w:color w:val="231F20"/>
                <w:sz w:val="14"/>
              </w:rPr>
              <w:t>By signing below, you also acknowledge that you have been advised that the assignability and transferability of the Shares is restricted and governed by the terms of the Prospectus; there are risks associated with an investment in the Shares and you should rely only on the information contained in the Prospectus and not on any other information or representations from other sources; and you should not invest in the Shares unless you have an adequate means of providing for your current needs and personal contingencies and have no need for liquidity in this investment.</w:t>
            </w:r>
          </w:p>
          <w:p>
            <w:pPr>
              <w:pStyle w:val="TableContents"/>
              <w:bidi w:val="0"/>
              <w:spacing w:lineRule="auto" w:line="292" w:before="111" w:after="283"/>
              <w:jc w:val="left"/>
              <w:rPr>
                <w:rFonts w:ascii="Times New Roman;serif" w:hAnsi="Times New Roman;serif"/>
                <w:b w:val="false"/>
                <w:color w:val="231F20"/>
                <w:sz w:val="14"/>
              </w:rPr>
            </w:pPr>
            <w:r>
              <w:rPr>
                <w:rFonts w:ascii="Times New Roman;serif" w:hAnsi="Times New Roman;serif"/>
                <w:b w:val="false"/>
                <w:color w:val="231F20"/>
                <w:sz w:val="14"/>
              </w:rPr>
              <w:t>The Company is required by law to obtain, verify and record certain personal information from you or persons on your behalf in order to establish the account. Required information includes name, date of birth, permanent residential address and Social Security/taxpayer identification number. The Company may also ask to see other identifying documents. If you do not provide the information, the Company may not be able to open your account. By signing the Subscription Agreement, you agree to provide this information and confirm that this information is true and correct. You further agree that the Company may discuss your personal information and your investment in the Shares at any time with your then-current financial advisor. If the Company is unable to verify your identity, or that of another person(s) authorized to act on your behalf, or if we believe we have identified potentially criminal activity, the Company reserves the right to take action as the Company deems appropriate, which may include closing your account.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50" w:after="283"/>
              <w:jc w:val="left"/>
              <w:rPr>
                <w:rFonts w:ascii="Times New Roman;serif" w:hAnsi="Times New Roman;serif"/>
                <w:b/>
                <w:color w:val="231F20"/>
                <w:sz w:val="14"/>
              </w:rPr>
            </w:pPr>
            <w:r>
              <w:rPr>
                <w:rFonts w:ascii="Times New Roman;serif" w:hAnsi="Times New Roman;serif"/>
                <w:b/>
                <w:color w:val="231F20"/>
                <w:sz w:val="14"/>
              </w:rPr>
              <w:t>By signing below, you also acknowledge that:</w:t>
            </w:r>
          </w:p>
        </w:tc>
      </w:tr>
      <w:tr>
        <w:trPr/>
        <w:tc>
          <w:tcPr>
            <w:tcW w:w="10205" w:type="dxa"/>
            <w:gridSpan w:val="3"/>
            <w:tcBorders/>
            <w:tcMar>
              <w:top w:w="0" w:type="dxa"/>
              <w:left w:w="0" w:type="dxa"/>
              <w:bottom w:w="0" w:type="dxa"/>
              <w:right w:w="0" w:type="dxa"/>
            </w:tcMar>
            <w:vAlign w:val="center"/>
          </w:tcPr>
          <w:p>
            <w:pPr>
              <w:pStyle w:val="TableContents"/>
              <w:bidi w:val="0"/>
              <w:spacing w:lineRule="auto" w:line="292" w:before="62" w:after="283"/>
              <w:ind w:left="0" w:right="0" w:hanging="90"/>
              <w:jc w:val="left"/>
              <w:rPr/>
            </w:pPr>
            <w:r>
              <w:rPr>
                <w:color w:val="231F20"/>
              </w:rPr>
              <w:t>•</w:t>
            </w:r>
            <w:r>
              <w:rPr>
                <w:rFonts w:ascii="Times New Roman;serif" w:hAnsi="Times New Roman;serif"/>
                <w:b w:val="false"/>
                <w:color w:val="231F20"/>
                <w:sz w:val="14"/>
              </w:rPr>
              <w:t>FS Investment Solutions, LLC, the dealer manager for the offering of the Shares, is not acting as the broker-dealer of record. Specifically, FS Investment Solutions, LLC shall not be responsible for carrying out any broker-dealer functions in connection with your purchase of the Shares, including but not limited to: (i) opening an individual account for you, (ii) determining whether any investment in the Shares is suitable for you, or (iii) verifying your identity. You do not have a customer relationship with FS Investment Solutions, LLC and any such relationship as customer is solely between you and your financial representative (including, if such financial advisor is a registered investment advisor (“RIA”), such RIA’s custodian).</w:t>
            </w:r>
          </w:p>
        </w:tc>
      </w:tr>
      <w:tr>
        <w:trPr/>
        <w:tc>
          <w:tcPr>
            <w:tcW w:w="10205" w:type="dxa"/>
            <w:gridSpan w:val="3"/>
            <w:tcBorders/>
            <w:shd w:fill="DCDDDE" w:val="clear"/>
            <w:tcMar>
              <w:top w:w="0" w:type="dxa"/>
              <w:left w:w="0" w:type="dxa"/>
              <w:bottom w:w="0" w:type="dxa"/>
              <w:right w:w="0" w:type="dxa"/>
            </w:tcMar>
            <w:vAlign w:val="center"/>
          </w:tcPr>
          <w:p>
            <w:pPr>
              <w:pStyle w:val="TableContents"/>
              <w:bidi w:val="0"/>
              <w:spacing w:lineRule="auto" w:line="288" w:before="73" w:after="283"/>
              <w:jc w:val="left"/>
              <w:rPr>
                <w:rFonts w:ascii="Times New Roman;serif" w:hAnsi="Times New Roman;serif"/>
                <w:b w:val="false"/>
                <w:color w:val="231F20"/>
                <w:sz w:val="14"/>
              </w:rPr>
            </w:pPr>
            <w:r>
              <w:rPr>
                <w:rFonts w:ascii="Times New Roman;serif" w:hAnsi="Times New Roman;serif"/>
                <w:b w:val="false"/>
                <w:color w:val="231F20"/>
                <w:sz w:val="14"/>
              </w:rPr>
              <w:t>The IRS does not require your consent to any provision of this Subscription Agreement other than the certifications required to avoid backup withholding.</w:t>
            </w:r>
          </w:p>
        </w:tc>
      </w:tr>
    </w:tbl>
    <w:tbl>
      <w:tblPr>
        <w:tblW w:w="9254" w:type="dxa"/>
        <w:jc w:val="left"/>
        <w:tblInd w:w="0" w:type="dxa"/>
        <w:tblLayout w:type="fixed"/>
        <w:tblCellMar>
          <w:top w:w="28" w:type="dxa"/>
          <w:left w:w="28" w:type="dxa"/>
          <w:bottom w:w="28" w:type="dxa"/>
          <w:right w:w="28" w:type="dxa"/>
        </w:tblCellMar>
      </w:tblPr>
      <w:tblGrid>
        <w:gridCol w:w="1047"/>
        <w:gridCol w:w="922"/>
        <w:gridCol w:w="925"/>
        <w:gridCol w:w="509"/>
        <w:gridCol w:w="509"/>
        <w:gridCol w:w="512"/>
        <w:gridCol w:w="1084"/>
        <w:gridCol w:w="1084"/>
        <w:gridCol w:w="1087"/>
        <w:gridCol w:w="461"/>
        <w:gridCol w:w="461"/>
        <w:gridCol w:w="653"/>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DCDD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Owner or authorized person signature</w:t>
            </w:r>
          </w:p>
        </w:tc>
        <w:tc>
          <w:tcPr>
            <w:tcW w:w="1530" w:type="dxa"/>
            <w:gridSpan w:val="3"/>
            <w:tcBorders/>
            <w:shd w:fill="DCDDDE" w:val="clear"/>
            <w:tcMar>
              <w:top w:w="0" w:type="dxa"/>
              <w:left w:w="0" w:type="dxa"/>
              <w:bottom w:w="0" w:type="dxa"/>
              <w:right w:w="0" w:type="dxa"/>
            </w:tcMar>
            <w:vAlign w:val="center"/>
          </w:tcPr>
          <w:p>
            <w:pPr>
              <w:pStyle w:val="TableContents"/>
              <w:bidi w:val="0"/>
              <w:spacing w:lineRule="atLeast" w:line="178" w:before="4" w:after="283"/>
              <w:jc w:val="left"/>
              <w:rPr/>
            </w:pPr>
            <w:r>
              <w:rPr>
                <w:rFonts w:ascii="Times New Roman;serif" w:hAnsi="Times New Roman;serif"/>
                <w:b/>
                <w:color w:val="231F20"/>
                <w:sz w:val="16"/>
              </w:rPr>
              <w:t>Date</w:t>
            </w:r>
            <w:r>
              <w:rPr>
                <w:color w:val="231F20"/>
              </w:rPr>
              <w:t xml:space="preserve"> </w:t>
            </w:r>
            <w:r>
              <w:rPr>
                <w:rFonts w:ascii="Times New Roman;serif" w:hAnsi="Times New Roman;serif"/>
                <w:b w:val="false"/>
                <w:color w:val="231F20"/>
                <w:sz w:val="16"/>
              </w:rPr>
              <w:t>(mm/dd/yyyy)</w:t>
            </w:r>
          </w:p>
        </w:tc>
        <w:tc>
          <w:tcPr>
            <w:tcW w:w="3255" w:type="dxa"/>
            <w:gridSpan w:val="3"/>
            <w:tcBorders/>
            <w:shd w:fill="DCDDDE" w:val="clear"/>
            <w:tcMar>
              <w:top w:w="0" w:type="dxa"/>
              <w:left w:w="0" w:type="dxa"/>
              <w:bottom w:w="0" w:type="dxa"/>
              <w:right w:w="0" w:type="dxa"/>
            </w:tcMar>
            <w:vAlign w:val="center"/>
          </w:tcPr>
          <w:p>
            <w:pPr>
              <w:pStyle w:val="TableContents"/>
              <w:bidi w:val="0"/>
              <w:spacing w:lineRule="atLeast" w:line="178" w:before="4" w:after="283"/>
              <w:jc w:val="left"/>
              <w:rPr>
                <w:rFonts w:ascii="Times New Roman;serif" w:hAnsi="Times New Roman;serif"/>
                <w:b/>
                <w:color w:val="231F20"/>
                <w:sz w:val="16"/>
              </w:rPr>
            </w:pPr>
            <w:r>
              <w:rPr>
                <w:rFonts w:ascii="Times New Roman;serif" w:hAnsi="Times New Roman;serif"/>
                <w:b/>
                <w:color w:val="231F20"/>
                <w:sz w:val="16"/>
              </w:rPr>
              <w:t>Joint owner or authorized person signature</w:t>
            </w:r>
          </w:p>
        </w:tc>
        <w:tc>
          <w:tcPr>
            <w:tcW w:w="1575" w:type="dxa"/>
            <w:gridSpan w:val="3"/>
            <w:tcBorders/>
            <w:shd w:fill="DCDDDE" w:val="clear"/>
            <w:tcMar>
              <w:top w:w="0" w:type="dxa"/>
              <w:left w:w="0" w:type="dxa"/>
              <w:bottom w:w="0" w:type="dxa"/>
              <w:right w:w="0" w:type="dxa"/>
            </w:tcMar>
            <w:vAlign w:val="center"/>
          </w:tcPr>
          <w:p>
            <w:pPr>
              <w:pStyle w:val="TableContents"/>
              <w:bidi w:val="0"/>
              <w:spacing w:lineRule="atLeast" w:line="178" w:before="4" w:after="283"/>
              <w:jc w:val="left"/>
              <w:rPr/>
            </w:pPr>
            <w:r>
              <w:rPr>
                <w:rFonts w:ascii="Times New Roman;serif" w:hAnsi="Times New Roman;serif"/>
                <w:b/>
                <w:color w:val="231F20"/>
                <w:sz w:val="16"/>
              </w:rPr>
              <w:t>Date</w:t>
            </w:r>
            <w:r>
              <w:rPr>
                <w:color w:val="231F20"/>
              </w:rPr>
              <w:t xml:space="preserve"> </w:t>
            </w:r>
            <w:r>
              <w:rPr>
                <w:rFonts w:ascii="Times New Roman;serif" w:hAnsi="Times New Roman;serif"/>
                <w:b w:val="false"/>
                <w:color w:val="231F20"/>
                <w:sz w:val="16"/>
              </w:rPr>
              <w:t>(mm/dd/yyyy)</w:t>
            </w:r>
          </w:p>
        </w:tc>
      </w:tr>
      <w:tr>
        <w:trPr/>
        <w:tc>
          <w:tcPr>
            <w:tcW w:w="2894"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3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17170"/>
                <wp:effectExtent l="0" t="0" r="0" b="0"/>
                <wp:wrapNone/>
                <wp:docPr id="14" name="Frame11"/>
                <a:graphic xmlns:a="http://schemas.openxmlformats.org/drawingml/2006/main">
                  <a:graphicData uri="http://schemas.microsoft.com/office/word/2010/wordprocessingShape">
                    <wps:wsp>
                      <wps:cNvSpPr txBox="1"/>
                      <wps:spPr>
                        <a:xfrm>
                          <a:off x="0" y="0"/>
                          <a:ext cx="6480175" cy="217170"/>
                        </a:xfrm>
                        <a:prstGeom prst="rect"/>
                        <a:solidFill>
                          <a:srgbClr val="FFFFFF"/>
                        </a:solidFill>
                      </wps:spPr>
                      <wps:txbx>
                        <w:txbxContent>
                          <w:p>
                            <w:pPr>
                              <w:pStyle w:val="TextBody"/>
                              <w:bidi w:val="0"/>
                              <w:spacing w:before="66" w:after="283"/>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6" w:after="283"/>
                        <w:jc w:val="right"/>
                        <w:rPr/>
                      </w:pPr>
                      <w:r>
                        <w:rPr/>
                      </w:r>
                    </w:p>
                  </w:txbxContent>
                </v:textbox>
                <w10:wrap type="none"/>
              </v:rect>
            </w:pict>
          </mc:Fallback>
        </mc:AlternateContent>
      </w:r>
    </w:p>
    <w:tbl>
      <w:tblPr>
        <w:tblW w:w="8400" w:type="dxa"/>
        <w:jc w:val="left"/>
        <w:tblInd w:w="0" w:type="dxa"/>
        <w:tblLayout w:type="fixed"/>
        <w:tblCellMar>
          <w:top w:w="28" w:type="dxa"/>
          <w:left w:w="28" w:type="dxa"/>
          <w:bottom w:w="28" w:type="dxa"/>
          <w:right w:w="28" w:type="dxa"/>
        </w:tblCellMar>
      </w:tblPr>
      <w:tblGrid>
        <w:gridCol w:w="2690"/>
        <w:gridCol w:w="2360"/>
        <w:gridCol w:w="3350"/>
      </w:tblGrid>
      <w:tr>
        <w:trPr/>
        <w:tc>
          <w:tcPr>
            <w:tcW w:w="26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8400" w:type="dxa"/>
            <w:gridSpan w:val="3"/>
            <w:tcBorders/>
            <w:tcMar>
              <w:top w:w="0" w:type="dxa"/>
              <w:left w:w="0" w:type="dxa"/>
              <w:bottom w:w="0" w:type="dxa"/>
              <w:right w:w="0" w:type="dxa"/>
            </w:tcMar>
            <w:vAlign w:val="center"/>
          </w:tcPr>
          <w:p>
            <w:pPr>
              <w:pStyle w:val="TableContents"/>
              <w:bidi w:val="0"/>
              <w:spacing w:lineRule="auto" w:line="288" w:before="51" w:after="283"/>
              <w:jc w:val="left"/>
              <w:rPr>
                <w:rFonts w:ascii="Times New Roman;serif" w:hAnsi="Times New Roman;serif"/>
                <w:b w:val="false"/>
                <w:color w:val="231F20"/>
                <w:sz w:val="16"/>
              </w:rPr>
            </w:pPr>
            <w:r>
              <w:rPr>
                <w:rFonts w:ascii="Times New Roman;serif" w:hAnsi="Times New Roman;serif"/>
                <w:b w:val="false"/>
                <w:color w:val="231F20"/>
                <w:sz w:val="16"/>
              </w:rPr>
              <w:t>FS Credit Real Estate Income Trust, Inc. – Subscription Agreement | Class D, Class I, Class M, Class S and Class T V6.3</w:t>
            </w:r>
          </w:p>
        </w:tc>
      </w:tr>
    </w:tbl>
    <w:tbl>
      <w:tblPr>
        <w:tblW w:w="10205" w:type="dxa"/>
        <w:jc w:val="left"/>
        <w:tblInd w:w="0" w:type="dxa"/>
        <w:tblLayout w:type="fixed"/>
        <w:tblCellMar>
          <w:top w:w="28" w:type="dxa"/>
          <w:left w:w="28" w:type="dxa"/>
          <w:bottom w:w="28" w:type="dxa"/>
          <w:right w:w="28" w:type="dxa"/>
        </w:tblCellMar>
      </w:tblPr>
      <w:tblGrid>
        <w:gridCol w:w="2799"/>
        <w:gridCol w:w="2455"/>
        <w:gridCol w:w="2465"/>
        <w:gridCol w:w="451"/>
        <w:gridCol w:w="328"/>
        <w:gridCol w:w="328"/>
        <w:gridCol w:w="585"/>
        <w:gridCol w:w="328"/>
        <w:gridCol w:w="466"/>
      </w:tblGrid>
      <w:tr>
        <w:trPr/>
        <w:tc>
          <w:tcPr>
            <w:tcW w:w="279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231F20" w:val="clear"/>
            <w:tcMar>
              <w:top w:w="0" w:type="dxa"/>
              <w:left w:w="0" w:type="dxa"/>
              <w:bottom w:w="0" w:type="dxa"/>
              <w:right w:w="0" w:type="dxa"/>
            </w:tcMar>
            <w:vAlign w:val="center"/>
          </w:tcPr>
          <w:p>
            <w:pPr>
              <w:pStyle w:val="TableContents"/>
              <w:bidi w:val="0"/>
              <w:spacing w:lineRule="auto" w:line="288" w:before="5" w:after="283"/>
              <w:jc w:val="left"/>
              <w:rPr/>
            </w:pPr>
            <w:r>
              <w:rPr>
                <w:color w:val="FFFFFF"/>
              </w:rPr>
              <w:t> </w:t>
            </w:r>
            <w:r>
              <w:rPr>
                <w:rFonts w:ascii="Times New Roman;serif" w:hAnsi="Times New Roman;serif"/>
                <w:b w:val="false"/>
                <w:color w:val="FFFFFF"/>
                <w:sz w:val="22"/>
                <w:shd w:fill="231F20" w:val="clear"/>
              </w:rPr>
              <w:t>10</w:t>
            </w:r>
            <w:r>
              <w:rPr>
                <w:color w:val="FFFFFF"/>
              </w:rPr>
              <w:t xml:space="preserve"> </w:t>
            </w:r>
            <w:r>
              <w:rPr>
                <w:rFonts w:ascii="Times New Roman;serif" w:hAnsi="Times New Roman;serif"/>
                <w:b w:val="false"/>
                <w:color w:val="FFFFFF"/>
                <w:sz w:val="22"/>
                <w:shd w:fill="231F20" w:val="clear"/>
              </w:rPr>
              <w:t>Financial</w:t>
            </w:r>
            <w:r>
              <w:rPr>
                <w:color w:val="FFFFFF"/>
              </w:rPr>
              <w:t xml:space="preserve"> </w:t>
            </w:r>
            <w:r>
              <w:rPr>
                <w:rFonts w:ascii="Times New Roman;serif" w:hAnsi="Times New Roman;serif"/>
                <w:b w:val="false"/>
                <w:color w:val="FFFFFF"/>
                <w:sz w:val="22"/>
                <w:shd w:fill="231F20" w:val="clear"/>
              </w:rPr>
              <w:t>representative</w:t>
            </w:r>
            <w:r>
              <w:rPr>
                <w:color w:val="FFFFFF"/>
              </w:rPr>
              <w:t>    </w:t>
            </w:r>
          </w:p>
        </w:tc>
        <w:tc>
          <w:tcPr>
            <w:tcW w:w="1107"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231F2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92" w:before="91" w:after="283"/>
              <w:jc w:val="left"/>
              <w:rPr>
                <w:rFonts w:ascii="Times New Roman;serif" w:hAnsi="Times New Roman;serif"/>
                <w:b w:val="false"/>
                <w:color w:val="000000"/>
                <w:sz w:val="12"/>
              </w:rPr>
            </w:pPr>
            <w:r>
              <w:rPr>
                <w:rFonts w:ascii="Times New Roman;serif" w:hAnsi="Times New Roman;serif"/>
                <w:b w:val="false"/>
                <w:color w:val="000000"/>
                <w:sz w:val="12"/>
              </w:rPr>
              <w:t>The undersigned confirm on behalf of the broker-dealer, financial institution or registered investment advisor that they (i) are registered and/or properly licensed in the state in which the sale of the Shares to the investor executing this Subscription Agreement has been made and that the offering of the Shares is registered for sale in such state; (ii) have reasonable grounds to believe that the information and representations concerning the investor identified herein are true, correct and complete in all respects; (iii) have discussed such investor’s prospective purchase of Shares with such investor; (iv) have advised such investor of all pertinent facts with regard to the fundamental risks of the investment, including the lack of liquidity and marketability of the Shares; (v) have delivered a current Prospectus and related supplements, if any, to such investor; (vi) have reasonable grounds to believe that the investor is purchasing these Shares for his or her own account; (vii) have reasonable grounds to believe that the purchase of Shares is a suitable investment for such investor, that the undersigned will obtain and retain records relating to such investor’s suitability for a period of six years, that such investor meets the suitability standards applicable to such investor set forth in the Prospectus and related supplements, if any, that such investor is in a financial position to enable such investor to realize the benefits</w:t>
            </w:r>
          </w:p>
          <w:p>
            <w:pPr>
              <w:pStyle w:val="TableContents"/>
              <w:bidi w:val="0"/>
              <w:spacing w:lineRule="auto" w:line="292" w:before="1" w:after="283"/>
              <w:jc w:val="left"/>
              <w:rPr>
                <w:rFonts w:ascii="Times New Roman;serif" w:hAnsi="Times New Roman;serif"/>
                <w:b w:val="false"/>
                <w:color w:val="000000"/>
                <w:sz w:val="12"/>
              </w:rPr>
            </w:pPr>
            <w:r>
              <w:rPr>
                <w:rFonts w:ascii="Times New Roman;serif" w:hAnsi="Times New Roman;serif"/>
                <w:b w:val="false"/>
                <w:color w:val="000000"/>
                <w:sz w:val="12"/>
              </w:rPr>
              <w:t>of such an investment and to suffer any loss that may occur with respect thereto and that such investor has an understanding of the fundamental risks of the investment, the background and qualifications of the persons managing the Company and the tax consequences of purchasing and owning Shares; and (viii) the purchase of Shares is in the best interests of the investor. The undersigned financial representative further represents and certifies that in connection with this subscription for Shares, he or she has complied with and has followed all applicable policies and procedures under his or her firm’s existing anti-money laundering program and customer identification program.</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70" w:after="283"/>
              <w:jc w:val="left"/>
              <w:rPr>
                <w:rFonts w:ascii="Times New Roman;serif" w:hAnsi="Times New Roman;serif"/>
                <w:b w:val="false"/>
                <w:color w:val="000000"/>
                <w:sz w:val="16"/>
              </w:rPr>
            </w:pPr>
            <w:r>
              <w:rPr>
                <w:rFonts w:ascii="Times New Roman;serif" w:hAnsi="Times New Roman;serif"/>
                <w:b w:val="false"/>
                <w:color w:val="000000"/>
                <w:sz w:val="16"/>
              </w:rPr>
              <w:t>Broker-dealer name or RIA firm name</w:t>
            </w:r>
          </w:p>
        </w:tc>
      </w:tr>
      <w:tr>
        <w:trPr/>
        <w:tc>
          <w:tcPr>
            <w:tcW w:w="882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tLeast" w:line="150" w:before="164" w:after="283"/>
              <w:jc w:val="left"/>
              <w:rPr>
                <w:rFonts w:ascii="Times New Roman;serif" w:hAnsi="Times New Roman;serif"/>
                <w:b w:val="false"/>
                <w:color w:val="000000"/>
                <w:sz w:val="16"/>
              </w:rPr>
            </w:pPr>
            <w:r>
              <w:rPr>
                <w:rFonts w:ascii="Times New Roman;serif" w:hAnsi="Times New Roman;serif"/>
                <w:b w:val="false"/>
                <w:color w:val="000000"/>
                <w:sz w:val="16"/>
              </w:rPr>
              <w:t>Financial representative name</w:t>
            </w:r>
          </w:p>
        </w:tc>
        <w:tc>
          <w:tcPr>
            <w:tcW w:w="137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tLeast" w:line="150" w:before="164" w:after="283"/>
              <w:jc w:val="left"/>
              <w:rPr>
                <w:rFonts w:ascii="Times New Roman;serif" w:hAnsi="Times New Roman;serif"/>
                <w:b w:val="false"/>
                <w:color w:val="000000"/>
                <w:sz w:val="16"/>
              </w:rPr>
            </w:pPr>
            <w:r>
              <w:rPr>
                <w:rFonts w:ascii="Times New Roman;serif" w:hAnsi="Times New Roman;serif"/>
                <w:b w:val="false"/>
                <w:color w:val="000000"/>
                <w:sz w:val="16"/>
              </w:rPr>
              <w:t>Phone #</w:t>
            </w:r>
          </w:p>
        </w:tc>
      </w:tr>
      <w:tr>
        <w:trPr/>
        <w:tc>
          <w:tcPr>
            <w:tcW w:w="10205"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88" w:before="28" w:after="283"/>
              <w:jc w:val="left"/>
              <w:rPr>
                <w:rFonts w:ascii="Times New Roman;serif" w:hAnsi="Times New Roman;serif"/>
                <w:b w:val="false"/>
                <w:color w:val="000000"/>
                <w:sz w:val="16"/>
              </w:rPr>
            </w:pPr>
            <w:r>
              <w:rPr>
                <w:rFonts w:ascii="Times New Roman;serif" w:hAnsi="Times New Roman;serif"/>
                <w:b w:val="false"/>
                <w:color w:val="000000"/>
                <w:sz w:val="16"/>
              </w:rPr>
              <w:t>(first, middle, last)</w:t>
            </w:r>
          </w:p>
        </w:tc>
      </w:tr>
      <w:tr>
        <w:trPr/>
        <w:tc>
          <w:tcPr>
            <w:tcW w:w="10205" w:type="dxa"/>
            <w:gridSpan w:val="9"/>
            <w:tcBorders/>
            <w:tcMar>
              <w:top w:w="0" w:type="dxa"/>
              <w:left w:w="0" w:type="dxa"/>
              <w:bottom w:w="0" w:type="dxa"/>
              <w:right w:w="0" w:type="dxa"/>
            </w:tcMar>
            <w:vAlign w:val="center"/>
          </w:tcPr>
          <w:p>
            <w:pPr>
              <w:pStyle w:val="TableContents"/>
              <w:bidi w:val="0"/>
              <w:spacing w:lineRule="atLeast" w:line="164" w:before="86" w:after="283"/>
              <w:jc w:val="left"/>
              <w:rPr>
                <w:rFonts w:ascii="Times New Roman;serif" w:hAnsi="Times New Roman;serif"/>
                <w:b w:val="false"/>
                <w:color w:val="000000"/>
                <w:sz w:val="16"/>
              </w:rPr>
            </w:pPr>
            <w:r>
              <w:rPr>
                <w:rFonts w:ascii="Times New Roman;serif" w:hAnsi="Times New Roman;serif"/>
                <w:b w:val="false"/>
                <w:color w:val="000000"/>
                <w:sz w:val="16"/>
              </w:rPr>
              <w:t>Mailing address</w:t>
            </w:r>
          </w:p>
        </w:tc>
      </w:tr>
      <w:tr>
        <w:trPr/>
        <w:tc>
          <w:tcPr>
            <w:tcW w:w="77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9" w:after="283"/>
              <w:jc w:val="right"/>
              <w:rPr>
                <w:rFonts w:ascii="Times New Roman;serif" w:hAnsi="Times New Roman;serif"/>
                <w:b w:val="false"/>
                <w:color w:val="000000"/>
                <w:sz w:val="16"/>
              </w:rPr>
            </w:pPr>
            <w:r>
              <w:rPr>
                <w:rFonts w:ascii="Times New Roman;serif" w:hAnsi="Times New Roman;serif"/>
                <w:b w:val="false"/>
                <w:color w:val="000000"/>
                <w:sz w:val="16"/>
              </w:rPr>
              <w:t>(street)</w:t>
            </w:r>
          </w:p>
        </w:tc>
        <w:tc>
          <w:tcPr>
            <w:tcW w:w="110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9" w:after="283"/>
              <w:jc w:val="right"/>
              <w:rPr>
                <w:rFonts w:ascii="Times New Roman;serif" w:hAnsi="Times New Roman;serif"/>
                <w:b w:val="false"/>
                <w:color w:val="000000"/>
                <w:sz w:val="16"/>
              </w:rPr>
            </w:pPr>
            <w:r>
              <w:rPr>
                <w:rFonts w:ascii="Times New Roman;serif" w:hAnsi="Times New Roman;serif"/>
                <w:b w:val="false"/>
                <w:color w:val="000000"/>
                <w:sz w:val="16"/>
              </w:rPr>
              <w:t>(city, state)</w:t>
            </w:r>
          </w:p>
        </w:tc>
        <w:tc>
          <w:tcPr>
            <w:tcW w:w="13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9" w:after="283"/>
              <w:jc w:val="center"/>
              <w:rPr>
                <w:rFonts w:ascii="Times New Roman;serif" w:hAnsi="Times New Roman;serif"/>
                <w:b w:val="false"/>
                <w:color w:val="000000"/>
                <w:sz w:val="16"/>
              </w:rPr>
            </w:pPr>
            <w:r>
              <w:rPr>
                <w:rFonts w:ascii="Times New Roman;serif" w:hAnsi="Times New Roman;serif"/>
                <w:b w:val="false"/>
                <w:color w:val="000000"/>
                <w:sz w:val="16"/>
              </w:rPr>
              <w:t>(ZIP)</w:t>
            </w:r>
          </w:p>
        </w:tc>
      </w:tr>
      <w:tr>
        <w:trPr/>
        <w:tc>
          <w:tcPr>
            <w:tcW w:w="8826" w:type="dxa"/>
            <w:gridSpan w:val="6"/>
            <w:tcBorders>
              <w:bottom w:val="single" w:sz="2" w:space="0" w:color="000000"/>
            </w:tcBorders>
            <w:tcMar>
              <w:top w:w="0" w:type="dxa"/>
              <w:left w:w="0" w:type="dxa"/>
              <w:bottom w:w="30" w:type="dxa"/>
              <w:right w:w="0" w:type="dxa"/>
            </w:tcMar>
            <w:vAlign w:val="center"/>
          </w:tcPr>
          <w:p>
            <w:pPr>
              <w:pStyle w:val="TableContents"/>
              <w:bidi w:val="0"/>
              <w:spacing w:lineRule="atLeast" w:line="150" w:before="86" w:after="283"/>
              <w:jc w:val="left"/>
              <w:rPr>
                <w:rFonts w:ascii="Times New Roman;serif" w:hAnsi="Times New Roman;serif"/>
                <w:b w:val="false"/>
                <w:color w:val="000000"/>
                <w:sz w:val="16"/>
              </w:rPr>
            </w:pPr>
            <w:r>
              <w:rPr>
                <w:rFonts w:ascii="Times New Roman;serif" w:hAnsi="Times New Roman;serif"/>
                <w:b w:val="false"/>
                <w:color w:val="000000"/>
                <w:sz w:val="16"/>
              </w:rPr>
              <w:t>Advisor/CRD number    Branch number    </w:t>
            </w:r>
          </w:p>
        </w:tc>
        <w:tc>
          <w:tcPr>
            <w:tcW w:w="1379" w:type="dxa"/>
            <w:gridSpan w:val="3"/>
            <w:tcBorders>
              <w:bottom w:val="single" w:sz="2" w:space="0" w:color="000000"/>
            </w:tcBorders>
            <w:tcMar>
              <w:top w:w="0" w:type="dxa"/>
              <w:left w:w="0" w:type="dxa"/>
              <w:bottom w:w="30" w:type="dxa"/>
              <w:right w:w="0" w:type="dxa"/>
            </w:tcMar>
            <w:vAlign w:val="center"/>
          </w:tcPr>
          <w:p>
            <w:pPr>
              <w:pStyle w:val="TableContents"/>
              <w:bidi w:val="0"/>
              <w:spacing w:lineRule="atLeast" w:line="150" w:before="86" w:after="283"/>
              <w:jc w:val="left"/>
              <w:rPr>
                <w:rFonts w:ascii="Times New Roman;serif" w:hAnsi="Times New Roman;serif"/>
                <w:b w:val="false"/>
                <w:color w:val="000000"/>
                <w:sz w:val="16"/>
              </w:rPr>
            </w:pPr>
            <w:r>
              <w:rPr>
                <w:rFonts w:ascii="Times New Roman;serif" w:hAnsi="Times New Roman;serif"/>
                <w:b w:val="false"/>
                <w:color w:val="000000"/>
                <w:sz w:val="16"/>
              </w:rPr>
              <w:t>Email address</w:t>
            </w:r>
          </w:p>
        </w:tc>
      </w:tr>
    </w:tbl>
    <w:p>
      <w:pPr>
        <w:pStyle w:val="TextBody"/>
        <w:bidi w:val="0"/>
        <w:spacing w:before="4" w:after="1"/>
        <w:jc w:val="left"/>
        <w:rPr/>
      </w:pPr>
      <w:r>
        <w:rPr/>
      </w:r>
    </w:p>
    <w:tbl>
      <w:tblPr>
        <w:tblW w:w="8219" w:type="dxa"/>
        <w:jc w:val="left"/>
        <w:tblInd w:w="0" w:type="dxa"/>
        <w:tblLayout w:type="fixed"/>
        <w:tblCellMar>
          <w:top w:w="28" w:type="dxa"/>
          <w:left w:w="28" w:type="dxa"/>
          <w:bottom w:w="28" w:type="dxa"/>
          <w:right w:w="28" w:type="dxa"/>
        </w:tblCellMar>
      </w:tblPr>
      <w:tblGrid>
        <w:gridCol w:w="940"/>
        <w:gridCol w:w="826"/>
        <w:gridCol w:w="828"/>
        <w:gridCol w:w="509"/>
        <w:gridCol w:w="509"/>
        <w:gridCol w:w="512"/>
        <w:gridCol w:w="839"/>
        <w:gridCol w:w="839"/>
        <w:gridCol w:w="842"/>
        <w:gridCol w:w="461"/>
        <w:gridCol w:w="461"/>
        <w:gridCol w:w="65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DCDD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representative signature</w:t>
            </w:r>
          </w:p>
        </w:tc>
        <w:tc>
          <w:tcPr>
            <w:tcW w:w="1530" w:type="dxa"/>
            <w:gridSpan w:val="3"/>
            <w:tcBorders/>
            <w:shd w:fill="DCDDDE" w:val="clear"/>
            <w:tcMar>
              <w:top w:w="0" w:type="dxa"/>
              <w:left w:w="0" w:type="dxa"/>
              <w:bottom w:w="0" w:type="dxa"/>
              <w:right w:w="0" w:type="dxa"/>
            </w:tcMar>
            <w:vAlign w:val="center"/>
          </w:tcPr>
          <w:p>
            <w:pPr>
              <w:pStyle w:val="TableContents"/>
              <w:bidi w:val="0"/>
              <w:spacing w:lineRule="atLeast" w:line="178" w:before="4" w:after="283"/>
              <w:jc w:val="left"/>
              <w:rPr/>
            </w:pPr>
            <w:r>
              <w:rPr>
                <w:rFonts w:ascii="Times New Roman;serif" w:hAnsi="Times New Roman;serif"/>
                <w:b/>
                <w:color w:val="231F20"/>
                <w:sz w:val="16"/>
              </w:rPr>
              <w:t>Date</w:t>
            </w:r>
            <w:r>
              <w:rPr>
                <w:color w:val="231F20"/>
              </w:rPr>
              <w:t xml:space="preserve"> </w:t>
            </w:r>
            <w:r>
              <w:rPr>
                <w:rFonts w:ascii="Times New Roman;serif" w:hAnsi="Times New Roman;serif"/>
                <w:b w:val="false"/>
                <w:color w:val="231F20"/>
                <w:sz w:val="16"/>
              </w:rPr>
              <w:t>(mm/dd/yyyy)</w:t>
            </w:r>
          </w:p>
        </w:tc>
        <w:tc>
          <w:tcPr>
            <w:tcW w:w="2520" w:type="dxa"/>
            <w:gridSpan w:val="3"/>
            <w:tcBorders/>
            <w:shd w:fill="DCDDDE" w:val="clear"/>
            <w:tcMar>
              <w:top w:w="0" w:type="dxa"/>
              <w:left w:w="0" w:type="dxa"/>
              <w:bottom w:w="0" w:type="dxa"/>
              <w:right w:w="0" w:type="dxa"/>
            </w:tcMar>
            <w:vAlign w:val="center"/>
          </w:tcPr>
          <w:p>
            <w:pPr>
              <w:pStyle w:val="TableContents"/>
              <w:bidi w:val="0"/>
              <w:spacing w:lineRule="atLeast" w:line="178" w:before="4" w:after="283"/>
              <w:jc w:val="left"/>
              <w:rPr/>
            </w:pPr>
            <w:r>
              <w:rPr>
                <w:rFonts w:ascii="Times New Roman;serif" w:hAnsi="Times New Roman;serif"/>
                <w:b/>
                <w:color w:val="231F20"/>
                <w:sz w:val="16"/>
              </w:rPr>
              <w:t>Principal signature</w:t>
            </w:r>
            <w:r>
              <w:rPr>
                <w:color w:val="231F20"/>
              </w:rPr>
              <w:t xml:space="preserve"> </w:t>
            </w:r>
            <w:r>
              <w:rPr>
                <w:rFonts w:ascii="Times New Roman;serif" w:hAnsi="Times New Roman;serif"/>
                <w:b w:val="false"/>
                <w:color w:val="231F20"/>
                <w:sz w:val="16"/>
              </w:rPr>
              <w:t>(if applicable)</w:t>
            </w:r>
          </w:p>
        </w:tc>
        <w:tc>
          <w:tcPr>
            <w:tcW w:w="1575" w:type="dxa"/>
            <w:gridSpan w:val="3"/>
            <w:tcBorders/>
            <w:shd w:fill="DCDDDE" w:val="clear"/>
            <w:tcMar>
              <w:top w:w="0" w:type="dxa"/>
              <w:left w:w="0" w:type="dxa"/>
              <w:bottom w:w="0" w:type="dxa"/>
              <w:right w:w="0" w:type="dxa"/>
            </w:tcMar>
            <w:vAlign w:val="center"/>
          </w:tcPr>
          <w:p>
            <w:pPr>
              <w:pStyle w:val="TableContents"/>
              <w:bidi w:val="0"/>
              <w:spacing w:lineRule="atLeast" w:line="178" w:before="4" w:after="283"/>
              <w:jc w:val="left"/>
              <w:rPr/>
            </w:pPr>
            <w:r>
              <w:rPr>
                <w:rFonts w:ascii="Times New Roman;serif" w:hAnsi="Times New Roman;serif"/>
                <w:b/>
                <w:color w:val="231F20"/>
                <w:sz w:val="16"/>
              </w:rPr>
              <w:t>Date</w:t>
            </w:r>
            <w:r>
              <w:rPr>
                <w:color w:val="231F20"/>
              </w:rPr>
              <w:t xml:space="preserve"> </w:t>
            </w:r>
            <w:r>
              <w:rPr>
                <w:rFonts w:ascii="Times New Roman;serif" w:hAnsi="Times New Roman;serif"/>
                <w:b w:val="false"/>
                <w:color w:val="231F20"/>
                <w:sz w:val="16"/>
              </w:rPr>
              <w:t>(mm/dd/yyyy)</w:t>
            </w:r>
          </w:p>
        </w:tc>
      </w:tr>
      <w:tr>
        <w:trPr/>
        <w:tc>
          <w:tcPr>
            <w:tcW w:w="2594"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34" w:type="dxa"/>
        <w:jc w:val="left"/>
        <w:tblInd w:w="0" w:type="dxa"/>
        <w:tblLayout w:type="fixed"/>
        <w:tblCellMar>
          <w:top w:w="28" w:type="dxa"/>
          <w:left w:w="28" w:type="dxa"/>
          <w:bottom w:w="28" w:type="dxa"/>
          <w:right w:w="28" w:type="dxa"/>
        </w:tblCellMar>
      </w:tblPr>
      <w:tblGrid>
        <w:gridCol w:w="640"/>
        <w:gridCol w:w="563"/>
        <w:gridCol w:w="566"/>
        <w:gridCol w:w="684"/>
        <w:gridCol w:w="684"/>
        <w:gridCol w:w="686"/>
        <w:gridCol w:w="502"/>
        <w:gridCol w:w="502"/>
        <w:gridCol w:w="502"/>
        <w:gridCol w:w="615"/>
        <w:gridCol w:w="615"/>
        <w:gridCol w:w="615"/>
        <w:gridCol w:w="545"/>
        <w:gridCol w:w="545"/>
        <w:gridCol w:w="770"/>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9034" w:type="dxa"/>
            <w:gridSpan w:val="15"/>
            <w:tcBorders/>
            <w:shd w:fill="000000" w:val="clear"/>
            <w:tcMar>
              <w:top w:w="0" w:type="dxa"/>
              <w:left w:w="0" w:type="dxa"/>
              <w:bottom w:w="0" w:type="dxa"/>
              <w:right w:w="0" w:type="dxa"/>
            </w:tcMar>
            <w:vAlign w:val="center"/>
          </w:tcPr>
          <w:p>
            <w:pPr>
              <w:pStyle w:val="TableContents"/>
              <w:bidi w:val="0"/>
              <w:spacing w:lineRule="atLeast" w:line="334" w:before="5" w:after="283"/>
              <w:jc w:val="left"/>
              <w:rPr>
                <w:color w:val="FFFFFF"/>
              </w:rPr>
            </w:pPr>
            <w:r>
              <w:rPr>
                <w:color w:val="FFFFFF"/>
              </w:rPr>
              <w:t> </w:t>
            </w:r>
            <w:r>
              <w:rPr>
                <w:rFonts w:ascii="Times New Roman;serif" w:hAnsi="Times New Roman;serif"/>
                <w:b w:val="false"/>
                <w:color w:val="FFFFFF"/>
                <w:sz w:val="22"/>
              </w:rPr>
              <w:t>11 Investment instructions    </w:t>
            </w:r>
          </w:p>
        </w:tc>
      </w:tr>
      <w:tr>
        <w:trPr/>
        <w:tc>
          <w:tcPr>
            <w:tcW w:w="1769" w:type="dxa"/>
            <w:gridSpan w:val="3"/>
            <w:tcBorders/>
            <w:tcMar>
              <w:top w:w="0" w:type="dxa"/>
              <w:left w:w="0" w:type="dxa"/>
              <w:bottom w:w="0" w:type="dxa"/>
              <w:right w:w="0" w:type="dxa"/>
            </w:tcMar>
            <w:vAlign w:val="center"/>
          </w:tcPr>
          <w:p>
            <w:pPr>
              <w:pStyle w:val="TableContents"/>
              <w:bidi w:val="0"/>
              <w:spacing w:lineRule="atLeast" w:line="217" w:before="68" w:after="283"/>
              <w:jc w:val="left"/>
              <w:rPr>
                <w:rFonts w:ascii="Times New Roman;serif" w:hAnsi="Times New Roman;serif"/>
                <w:b/>
                <w:color w:val="231F20"/>
                <w:sz w:val="16"/>
              </w:rPr>
            </w:pPr>
            <w:r>
              <w:rPr>
                <w:rFonts w:ascii="Times New Roman;serif" w:hAnsi="Times New Roman;serif"/>
                <w:b/>
                <w:color w:val="231F20"/>
                <w:sz w:val="16"/>
              </w:rPr>
              <w:t>BY WIRE TRANSFER</w:t>
            </w:r>
          </w:p>
        </w:tc>
        <w:tc>
          <w:tcPr>
            <w:tcW w:w="2054" w:type="dxa"/>
            <w:gridSpan w:val="3"/>
            <w:tcBorders/>
            <w:tcMar>
              <w:top w:w="0" w:type="dxa"/>
              <w:left w:w="0" w:type="dxa"/>
              <w:bottom w:w="0" w:type="dxa"/>
              <w:right w:w="0" w:type="dxa"/>
            </w:tcMar>
            <w:vAlign w:val="center"/>
          </w:tcPr>
          <w:p>
            <w:pPr>
              <w:pStyle w:val="TableContents"/>
              <w:bidi w:val="0"/>
              <w:spacing w:lineRule="atLeast" w:line="217" w:before="68" w:after="283"/>
              <w:jc w:val="left"/>
              <w:rPr>
                <w:rFonts w:ascii="Times New Roman;serif" w:hAnsi="Times New Roman;serif"/>
                <w:b/>
                <w:color w:val="231F20"/>
                <w:sz w:val="16"/>
              </w:rPr>
            </w:pPr>
            <w:r>
              <w:rPr>
                <w:rFonts w:ascii="Times New Roman;serif" w:hAnsi="Times New Roman;serif"/>
                <w:b/>
                <w:color w:val="231F20"/>
                <w:sz w:val="16"/>
              </w:rPr>
              <w:t>CUSTODIAL ACCOUNTS</w:t>
            </w:r>
          </w:p>
        </w:tc>
        <w:tc>
          <w:tcPr>
            <w:tcW w:w="5211" w:type="dxa"/>
            <w:gridSpan w:val="9"/>
            <w:tcBorders/>
            <w:tcMar>
              <w:top w:w="0" w:type="dxa"/>
              <w:left w:w="0" w:type="dxa"/>
              <w:bottom w:w="0" w:type="dxa"/>
              <w:right w:w="0" w:type="dxa"/>
            </w:tcMar>
            <w:vAlign w:val="center"/>
          </w:tcPr>
          <w:p>
            <w:pPr>
              <w:pStyle w:val="TableContents"/>
              <w:bidi w:val="0"/>
              <w:spacing w:lineRule="atLeast" w:line="209" w:before="76" w:after="283"/>
              <w:jc w:val="left"/>
              <w:rPr/>
            </w:pPr>
            <w:r>
              <w:rPr>
                <w:rFonts w:ascii="Times New Roman;serif" w:hAnsi="Times New Roman;serif"/>
                <w:b/>
                <w:color w:val="231F20"/>
                <w:sz w:val="16"/>
              </w:rPr>
              <w:t xml:space="preserve">BY MAIL </w:t>
            </w:r>
            <w:r>
              <w:rPr>
                <w:rFonts w:ascii="Times New Roman;serif" w:hAnsi="Times New Roman;serif"/>
                <w:b/>
                <w:color w:val="231F20"/>
                <w:sz w:val="14"/>
              </w:rPr>
              <w:t>(CHECKS SHOULD BE MADE PAYABLE TO “FS Credit REIT”)</w:t>
            </w:r>
          </w:p>
        </w:tc>
      </w:tr>
      <w:tr>
        <w:trPr/>
        <w:tc>
          <w:tcPr>
            <w:tcW w:w="1769" w:type="dxa"/>
            <w:gridSpan w:val="3"/>
            <w:tcBorders/>
            <w:tcMar>
              <w:top w:w="0" w:type="dxa"/>
              <w:left w:w="0" w:type="dxa"/>
              <w:bottom w:w="0" w:type="dxa"/>
              <w:right w:w="0" w:type="dxa"/>
            </w:tcMar>
            <w:vAlign w:val="center"/>
          </w:tcPr>
          <w:p>
            <w:pPr>
              <w:pStyle w:val="TableContents"/>
              <w:bidi w:val="0"/>
              <w:spacing w:lineRule="atLeast" w:line="142" w:before="42" w:after="283"/>
              <w:jc w:val="left"/>
              <w:rPr>
                <w:rFonts w:ascii="Times New Roman;serif" w:hAnsi="Times New Roman;serif"/>
                <w:b w:val="false"/>
                <w:color w:val="231F20"/>
                <w:sz w:val="13"/>
              </w:rPr>
            </w:pPr>
            <w:r>
              <w:rPr>
                <w:rFonts w:ascii="Times New Roman;serif" w:hAnsi="Times New Roman;serif"/>
                <w:b w:val="false"/>
                <w:color w:val="231F20"/>
                <w:sz w:val="13"/>
              </w:rPr>
              <w:t>UMB Bank, N.A.,</w:t>
            </w:r>
          </w:p>
        </w:tc>
        <w:tc>
          <w:tcPr>
            <w:tcW w:w="2054" w:type="dxa"/>
            <w:gridSpan w:val="3"/>
            <w:tcBorders/>
            <w:tcMar>
              <w:top w:w="0" w:type="dxa"/>
              <w:left w:w="0" w:type="dxa"/>
              <w:bottom w:w="0" w:type="dxa"/>
              <w:right w:w="0" w:type="dxa"/>
            </w:tcMar>
            <w:vAlign w:val="center"/>
          </w:tcPr>
          <w:p>
            <w:pPr>
              <w:pStyle w:val="TableContents"/>
              <w:bidi w:val="0"/>
              <w:spacing w:lineRule="atLeast" w:line="142" w:before="42" w:after="283"/>
              <w:jc w:val="left"/>
              <w:rPr>
                <w:rFonts w:ascii="Times New Roman;serif" w:hAnsi="Times New Roman;serif"/>
                <w:b w:val="false"/>
                <w:color w:val="231F20"/>
                <w:sz w:val="13"/>
              </w:rPr>
            </w:pPr>
            <w:r>
              <w:rPr>
                <w:rFonts w:ascii="Times New Roman;serif" w:hAnsi="Times New Roman;serif"/>
                <w:b w:val="false"/>
                <w:color w:val="231F20"/>
                <w:sz w:val="13"/>
              </w:rPr>
              <w:t>Forward Subscription</w:t>
            </w:r>
          </w:p>
        </w:tc>
        <w:tc>
          <w:tcPr>
            <w:tcW w:w="1506" w:type="dxa"/>
            <w:gridSpan w:val="3"/>
            <w:tcBorders/>
            <w:tcMar>
              <w:top w:w="0" w:type="dxa"/>
              <w:left w:w="0" w:type="dxa"/>
              <w:bottom w:w="0" w:type="dxa"/>
              <w:right w:w="0" w:type="dxa"/>
            </w:tcMar>
            <w:vAlign w:val="center"/>
          </w:tcPr>
          <w:p>
            <w:pPr>
              <w:pStyle w:val="TableContents"/>
              <w:bidi w:val="0"/>
              <w:spacing w:lineRule="atLeast" w:line="155" w:before="20" w:after="283"/>
              <w:jc w:val="left"/>
              <w:rPr>
                <w:rFonts w:ascii="Times New Roman;serif" w:hAnsi="Times New Roman;serif"/>
                <w:b w:val="false"/>
                <w:color w:val="231F20"/>
                <w:sz w:val="14"/>
              </w:rPr>
            </w:pPr>
            <w:r>
              <w:rPr>
                <w:rFonts w:ascii="Times New Roman;serif" w:hAnsi="Times New Roman;serif"/>
                <w:b w:val="false"/>
                <w:color w:val="231F20"/>
                <w:sz w:val="14"/>
              </w:rPr>
              <w:t>Future Standard</w:t>
            </w:r>
          </w:p>
        </w:tc>
        <w:tc>
          <w:tcPr>
            <w:tcW w:w="1845" w:type="dxa"/>
            <w:gridSpan w:val="3"/>
            <w:tcBorders/>
            <w:tcMar>
              <w:top w:w="0" w:type="dxa"/>
              <w:left w:w="0" w:type="dxa"/>
              <w:bottom w:w="0" w:type="dxa"/>
              <w:right w:w="0" w:type="dxa"/>
            </w:tcMar>
            <w:vAlign w:val="center"/>
          </w:tcPr>
          <w:p>
            <w:pPr>
              <w:pStyle w:val="TableContents"/>
              <w:bidi w:val="0"/>
              <w:spacing w:lineRule="atLeast" w:line="155" w:before="20" w:after="283"/>
              <w:jc w:val="left"/>
              <w:rPr>
                <w:rFonts w:ascii="Times New Roman;serif" w:hAnsi="Times New Roman;serif"/>
                <w:b w:val="false"/>
                <w:color w:val="231F20"/>
                <w:sz w:val="14"/>
              </w:rPr>
            </w:pPr>
            <w:r>
              <w:rPr>
                <w:rFonts w:ascii="Times New Roman;serif" w:hAnsi="Times New Roman;serif"/>
                <w:b w:val="false"/>
                <w:color w:val="231F20"/>
                <w:sz w:val="14"/>
              </w:rPr>
              <w:t>Regular mail</w:t>
            </w:r>
          </w:p>
        </w:tc>
        <w:tc>
          <w:tcPr>
            <w:tcW w:w="1860" w:type="dxa"/>
            <w:gridSpan w:val="3"/>
            <w:tcBorders/>
            <w:tcMar>
              <w:top w:w="0" w:type="dxa"/>
              <w:left w:w="0" w:type="dxa"/>
              <w:bottom w:w="0" w:type="dxa"/>
              <w:right w:w="0" w:type="dxa"/>
            </w:tcMar>
            <w:vAlign w:val="center"/>
          </w:tcPr>
          <w:p>
            <w:pPr>
              <w:pStyle w:val="TableContents"/>
              <w:bidi w:val="0"/>
              <w:spacing w:lineRule="atLeast" w:line="155" w:before="20" w:after="283"/>
              <w:jc w:val="left"/>
              <w:rPr>
                <w:rFonts w:ascii="Times New Roman;serif" w:hAnsi="Times New Roman;serif"/>
                <w:b w:val="false"/>
                <w:color w:val="231F20"/>
                <w:sz w:val="14"/>
              </w:rPr>
            </w:pPr>
            <w:r>
              <w:rPr>
                <w:rFonts w:ascii="Times New Roman;serif" w:hAnsi="Times New Roman;serif"/>
                <w:b w:val="false"/>
                <w:color w:val="231F20"/>
                <w:sz w:val="14"/>
              </w:rPr>
              <w:t>Express/overnight delivery</w:t>
            </w:r>
          </w:p>
        </w:tc>
      </w:tr>
      <w:tr>
        <w:trPr/>
        <w:tc>
          <w:tcPr>
            <w:tcW w:w="1769"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3"/>
              </w:rPr>
            </w:pPr>
            <w:r>
              <w:rPr>
                <w:rFonts w:ascii="Times New Roman;serif" w:hAnsi="Times New Roman;serif"/>
                <w:b w:val="false"/>
                <w:color w:val="231F20"/>
                <w:sz w:val="13"/>
              </w:rPr>
              <w:t>ABA routing #101000695,</w:t>
            </w:r>
          </w:p>
        </w:tc>
        <w:tc>
          <w:tcPr>
            <w:tcW w:w="2054"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3"/>
              </w:rPr>
            </w:pPr>
            <w:r>
              <w:rPr>
                <w:rFonts w:ascii="Times New Roman;serif" w:hAnsi="Times New Roman;serif"/>
                <w:b w:val="false"/>
                <w:color w:val="231F20"/>
                <w:sz w:val="13"/>
              </w:rPr>
              <w:t>Agreement to the custodian</w:t>
            </w:r>
          </w:p>
        </w:tc>
        <w:tc>
          <w:tcPr>
            <w:tcW w:w="1506"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3"/>
              </w:rPr>
            </w:pPr>
            <w:r>
              <w:rPr>
                <w:rFonts w:ascii="Times New Roman;serif" w:hAnsi="Times New Roman;serif"/>
                <w:b w:val="false"/>
                <w:color w:val="231F20"/>
                <w:sz w:val="13"/>
              </w:rPr>
              <w:t>c/o SS&amp;C GIDS, Inc.</w:t>
            </w:r>
          </w:p>
        </w:tc>
        <w:tc>
          <w:tcPr>
            <w:tcW w:w="1845"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3"/>
              </w:rPr>
            </w:pPr>
            <w:r>
              <w:rPr>
                <w:rFonts w:ascii="Times New Roman;serif" w:hAnsi="Times New Roman;serif"/>
                <w:b w:val="false"/>
                <w:color w:val="231F20"/>
                <w:sz w:val="13"/>
              </w:rPr>
              <w:t>P.O. Box 219095</w:t>
            </w:r>
          </w:p>
        </w:tc>
        <w:tc>
          <w:tcPr>
            <w:tcW w:w="1860"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3"/>
              </w:rPr>
            </w:pPr>
            <w:r>
              <w:rPr>
                <w:rFonts w:ascii="Times New Roman;serif" w:hAnsi="Times New Roman;serif"/>
                <w:b w:val="false"/>
                <w:color w:val="231F20"/>
                <w:sz w:val="13"/>
              </w:rPr>
              <w:t>801 Pennsylvania Ave.</w:t>
            </w:r>
          </w:p>
        </w:tc>
      </w:tr>
      <w:tr>
        <w:trPr/>
        <w:tc>
          <w:tcPr>
            <w:tcW w:w="1769" w:type="dxa"/>
            <w:gridSpan w:val="3"/>
            <w:tcBorders/>
            <w:tcMar>
              <w:top w:w="0" w:type="dxa"/>
              <w:left w:w="0" w:type="dxa"/>
              <w:bottom w:w="0" w:type="dxa"/>
              <w:right w:w="0" w:type="dxa"/>
            </w:tcMar>
            <w:vAlign w:val="center"/>
          </w:tcPr>
          <w:p>
            <w:pPr>
              <w:pStyle w:val="TableContents"/>
              <w:bidi w:val="0"/>
              <w:spacing w:lineRule="atLeast" w:line="142" w:before="14" w:after="283"/>
              <w:jc w:val="left"/>
              <w:rPr>
                <w:rFonts w:ascii="Times New Roman;serif" w:hAnsi="Times New Roman;serif"/>
                <w:b w:val="false"/>
                <w:color w:val="231F20"/>
                <w:sz w:val="14"/>
              </w:rPr>
            </w:pPr>
            <w:r>
              <w:rPr>
                <w:rFonts w:ascii="Times New Roman;serif" w:hAnsi="Times New Roman;serif"/>
                <w:b w:val="false"/>
                <w:color w:val="231F20"/>
                <w:sz w:val="14"/>
              </w:rPr>
              <w:t>FS Credit REIT</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4"/>
              </w:rPr>
            </w:pPr>
            <w:r>
              <w:rPr>
                <w:rFonts w:ascii="Times New Roman;serif" w:hAnsi="Times New Roman;serif"/>
                <w:b w:val="false"/>
                <w:color w:val="231F20"/>
                <w:sz w:val="14"/>
              </w:rPr>
              <w:t>877-628-8575</w:t>
            </w:r>
          </w:p>
        </w:tc>
        <w:tc>
          <w:tcPr>
            <w:tcW w:w="1845"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4"/>
              </w:rPr>
            </w:pPr>
            <w:r>
              <w:rPr>
                <w:rFonts w:ascii="Times New Roman;serif" w:hAnsi="Times New Roman;serif"/>
                <w:b w:val="false"/>
                <w:color w:val="231F20"/>
                <w:sz w:val="14"/>
              </w:rPr>
              <w:t>Kansas City, MO 64121 -9095</w:t>
            </w:r>
          </w:p>
        </w:tc>
        <w:tc>
          <w:tcPr>
            <w:tcW w:w="1860"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4"/>
              </w:rPr>
            </w:pPr>
            <w:r>
              <w:rPr>
                <w:rFonts w:ascii="Times New Roman;serif" w:hAnsi="Times New Roman;serif"/>
                <w:b w:val="false"/>
                <w:color w:val="231F20"/>
                <w:sz w:val="14"/>
              </w:rPr>
              <w:t>Suite 219095</w:t>
            </w:r>
          </w:p>
        </w:tc>
      </w:tr>
      <w:tr>
        <w:trPr/>
        <w:tc>
          <w:tcPr>
            <w:tcW w:w="1769" w:type="dxa"/>
            <w:gridSpan w:val="3"/>
            <w:tcBorders/>
            <w:tcMar>
              <w:top w:w="0" w:type="dxa"/>
              <w:left w:w="0" w:type="dxa"/>
              <w:bottom w:w="0" w:type="dxa"/>
              <w:right w:w="0" w:type="dxa"/>
            </w:tcMar>
            <w:vAlign w:val="center"/>
          </w:tcPr>
          <w:p>
            <w:pPr>
              <w:pStyle w:val="TableContents"/>
              <w:bidi w:val="0"/>
              <w:spacing w:lineRule="atLeast" w:line="142" w:before="13" w:after="283"/>
              <w:jc w:val="left"/>
              <w:rPr>
                <w:rFonts w:ascii="Times New Roman;serif" w:hAnsi="Times New Roman;serif"/>
                <w:b w:val="false"/>
                <w:color w:val="231F20"/>
                <w:sz w:val="14"/>
              </w:rPr>
            </w:pPr>
            <w:r>
              <w:rPr>
                <w:rFonts w:ascii="Times New Roman;serif" w:hAnsi="Times New Roman;serif"/>
                <w:b w:val="false"/>
                <w:color w:val="231F20"/>
                <w:sz w:val="14"/>
              </w:rPr>
              <w:t>Account #9871737411</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tLeast" w:line="142" w:before="13" w:after="283"/>
              <w:jc w:val="left"/>
              <w:rPr>
                <w:rFonts w:ascii="Times New Roman;serif" w:hAnsi="Times New Roman;serif"/>
                <w:b w:val="false"/>
                <w:color w:val="231F20"/>
                <w:sz w:val="14"/>
              </w:rPr>
            </w:pPr>
            <w:r>
              <w:rPr>
                <w:rFonts w:ascii="Times New Roman;serif" w:hAnsi="Times New Roman;serif"/>
                <w:b w:val="false"/>
                <w:color w:val="231F20"/>
                <w:sz w:val="14"/>
              </w:rPr>
              <w:t>Kansas City, MO 64105-1307</w:t>
            </w:r>
          </w:p>
        </w:tc>
      </w:tr>
      <w:tr>
        <w:trPr/>
        <w:tc>
          <w:tcPr>
            <w:tcW w:w="1769" w:type="dxa"/>
            <w:gridSpan w:val="3"/>
            <w:tcBorders/>
            <w:tcMar>
              <w:top w:w="0" w:type="dxa"/>
              <w:left w:w="0" w:type="dxa"/>
              <w:bottom w:w="0" w:type="dxa"/>
              <w:right w:w="0" w:type="dxa"/>
            </w:tcMar>
            <w:vAlign w:val="center"/>
          </w:tcPr>
          <w:p>
            <w:pPr>
              <w:pStyle w:val="TableContents"/>
              <w:bidi w:val="0"/>
              <w:spacing w:lineRule="atLeast" w:line="142" w:before="12" w:after="283"/>
              <w:jc w:val="left"/>
              <w:rPr>
                <w:rFonts w:ascii="Times New Roman;serif" w:hAnsi="Times New Roman;serif"/>
                <w:b w:val="false"/>
                <w:color w:val="231F20"/>
                <w:sz w:val="13"/>
              </w:rPr>
            </w:pPr>
            <w:r>
              <w:rPr>
                <w:rFonts w:ascii="Times New Roman;serif" w:hAnsi="Times New Roman;serif"/>
                <w:b w:val="false"/>
                <w:color w:val="231F20"/>
                <w:sz w:val="13"/>
              </w:rPr>
              <w:t>Beneficial owner(s)</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tLeast" w:line="142" w:before="15" w:after="283"/>
              <w:jc w:val="left"/>
              <w:rPr>
                <w:rFonts w:ascii="Times New Roman;serif" w:hAnsi="Times New Roman;serif"/>
                <w:b w:val="false"/>
                <w:color w:val="231F20"/>
                <w:sz w:val="14"/>
              </w:rPr>
            </w:pPr>
            <w:r>
              <w:rPr>
                <w:rFonts w:ascii="Times New Roman;serif" w:hAnsi="Times New Roman;serif"/>
                <w:b w:val="false"/>
                <w:color w:val="231F20"/>
                <w:sz w:val="14"/>
              </w:rPr>
              <w:t>(include in memo field)</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88950"/>
                <wp:effectExtent l="0" t="0" r="0" b="0"/>
                <wp:wrapNone/>
                <wp:docPr id="15" name="Frame12"/>
                <a:graphic xmlns:a="http://schemas.openxmlformats.org/drawingml/2006/main">
                  <a:graphicData uri="http://schemas.microsoft.com/office/word/2010/wordprocessingShape">
                    <wps:wsp>
                      <wps:cNvSpPr txBox="1"/>
                      <wps:spPr>
                        <a:xfrm>
                          <a:off x="0" y="0"/>
                          <a:ext cx="6480175" cy="488950"/>
                        </a:xfrm>
                        <a:prstGeom prst="rect"/>
                        <a:solidFill>
                          <a:srgbClr val="FFFFFF"/>
                        </a:solidFill>
                      </wps:spPr>
                      <wps:txbx>
                        <w:txbxContent>
                          <w:p>
                            <w:pPr>
                              <w:pStyle w:val="TextBody"/>
                              <w:bidi w:val="0"/>
                              <w:spacing w:lineRule="auto" w:line="288" w:before="66" w:after="283"/>
                              <w:jc w:val="right"/>
                              <w:rPr>
                                <w:rFonts w:ascii="Arial Narrow;sans-serif" w:hAnsi="Arial Narrow;sans-serif"/>
                                <w:b w:val="false"/>
                                <w:color w:val="231F20"/>
                                <w:sz w:val="16"/>
                              </w:rPr>
                            </w:pPr>
                            <w:r>
                              <w:rPr>
                                <w:rFonts w:ascii="Arial Narrow;sans-serif" w:hAnsi="Arial Narrow;sans-serif"/>
                                <w:b w:val="false"/>
                                <w:color w:val="231F20"/>
                                <w:sz w:val="16"/>
                              </w:rPr>
                              <w:t>SA-REIT-COMBO</w:t>
                            </w:r>
                          </w:p>
                          <w:p>
                            <w:pPr>
                              <w:pStyle w:val="TextBody"/>
                              <w:bidi w:val="0"/>
                              <w:spacing w:lineRule="auto" w:line="288" w:before="17" w:after="283"/>
                              <w:jc w:val="right"/>
                              <w:rPr>
                                <w:rFonts w:ascii="Arial Narrow;sans-serif" w:hAnsi="Arial Narrow;sans-serif"/>
                                <w:b w:val="false"/>
                                <w:color w:val="231F20"/>
                                <w:sz w:val="16"/>
                              </w:rPr>
                            </w:pPr>
                            <w:r>
                              <w:rPr>
                                <w:rFonts w:ascii="Arial Narrow;sans-serif" w:hAnsi="Arial Narrow;sans-serif"/>
                                <w:b w:val="false"/>
                                <w:color w:val="231F20"/>
                                <w:sz w:val="16"/>
                              </w:rPr>
                              <w:t>AG26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6" w:after="283"/>
                        <w:jc w:val="right"/>
                        <w:rPr>
                          <w:rFonts w:ascii="Arial Narrow;sans-serif" w:hAnsi="Arial Narrow;sans-serif"/>
                          <w:b w:val="false"/>
                          <w:color w:val="231F20"/>
                          <w:sz w:val="16"/>
                        </w:rPr>
                      </w:pPr>
                      <w:r>
                        <w:rPr>
                          <w:rFonts w:ascii="Arial Narrow;sans-serif" w:hAnsi="Arial Narrow;sans-serif"/>
                          <w:b w:val="false"/>
                          <w:color w:val="231F20"/>
                          <w:sz w:val="16"/>
                        </w:rPr>
                        <w:t>SA-REIT-COMBO</w:t>
                      </w:r>
                    </w:p>
                    <w:p>
                      <w:pPr>
                        <w:pStyle w:val="TextBody"/>
                        <w:bidi w:val="0"/>
                        <w:spacing w:lineRule="auto" w:line="288" w:before="17" w:after="283"/>
                        <w:jc w:val="right"/>
                        <w:rPr>
                          <w:rFonts w:ascii="Arial Narrow;sans-serif" w:hAnsi="Arial Narrow;sans-serif"/>
                          <w:b w:val="false"/>
                          <w:color w:val="231F20"/>
                          <w:sz w:val="16"/>
                        </w:rPr>
                      </w:pPr>
                      <w:r>
                        <w:rPr>
                          <w:rFonts w:ascii="Arial Narrow;sans-serif" w:hAnsi="Arial Narrow;sans-serif"/>
                          <w:b w:val="false"/>
                          <w:color w:val="231F20"/>
                          <w:sz w:val="16"/>
                        </w:rPr>
                        <w:t>AG26</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B</w:t>
      </w:r>
    </w:p>
    <w:p>
      <w:pPr>
        <w:pStyle w:val="TextBody"/>
        <w:bidi w:val="0"/>
        <w:spacing w:lineRule="auto" w:line="331" w:before="40" w:after="283"/>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4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1"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1"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60" w:after="283"/>
        <w:ind w:left="0" w:right="0" w:hanging="450"/>
        <w:jc w:val="left"/>
        <w:rPr/>
      </w:pPr>
      <w:r>
        <w:rPr>
          <w:rFonts w:ascii="Wingdings;sans-serif" w:hAnsi="Wingdings;sans-serif"/>
          <w:b w:val="false"/>
          <w:color w:val="000000"/>
          <w:sz w:val="24"/>
        </w:rPr>
        <w:t>x</w:t>
      </w:r>
      <w:r>
        <w:rPr>
          <w:color w:val="000000"/>
        </w:rPr>
        <w:t>    </w:t>
      </w:r>
      <w:r>
        <w:rPr>
          <w:rFonts w:ascii="Times New Roman;serif" w:hAnsi="Times New Roman;serif"/>
          <w:b/>
          <w:color w:val="000000"/>
          <w:sz w:val="24"/>
        </w:rPr>
        <w:t xml:space="preserve">QUARTERLY REPORT PURSUANT TO SECTION 13 OR 15(d) OF THE SECURITIES EXCHANGE ACT OF 1934 </w:t>
      </w:r>
    </w:p>
    <w:p>
      <w:pPr>
        <w:pStyle w:val="TextBody"/>
        <w:bidi w:val="0"/>
        <w:spacing w:before="60" w:after="283"/>
        <w:ind w:left="0" w:right="0" w:hanging="450"/>
        <w:jc w:val="left"/>
        <w:rPr/>
      </w:pPr>
      <w:r>
        <w:rPr/>
      </w:r>
    </w:p>
    <w:p>
      <w:pPr>
        <w:pStyle w:val="TextBody"/>
        <w:bidi w:val="0"/>
        <w:spacing w:lineRule="auto" w:line="331" w:before="60" w:after="283"/>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2026 </w:t>
      </w:r>
    </w:p>
    <w:p>
      <w:pPr>
        <w:pStyle w:val="TextBody"/>
        <w:bidi w:val="0"/>
        <w:spacing w:lineRule="auto" w:line="331" w:before="6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60" w:after="283"/>
        <w:ind w:left="0" w:right="0" w:hanging="450"/>
        <w:jc w:val="left"/>
        <w:rPr/>
      </w:pPr>
      <w:r>
        <w:rPr>
          <w:color w:val="000000"/>
        </w:rPr>
        <w:t>☐    </w:t>
      </w:r>
      <w:r>
        <w:rPr>
          <w:rFonts w:ascii="Times New Roman;serif" w:hAnsi="Times New Roman;serif"/>
          <w:b/>
          <w:color w:val="000000"/>
          <w:sz w:val="24"/>
        </w:rPr>
        <w:t xml:space="preserve">TRANSITION REPORT PURSUANT TO SECTION 13 OR 15(d) OF THE SECURITIES EXCHANGE ACT OF 1934 </w:t>
      </w:r>
    </w:p>
    <w:p>
      <w:pPr>
        <w:pStyle w:val="TextBody"/>
        <w:bidi w:val="0"/>
        <w:spacing w:before="60" w:after="283"/>
        <w:ind w:left="0" w:right="0" w:hanging="450"/>
        <w:jc w:val="left"/>
        <w:rPr/>
      </w:pPr>
      <w:r>
        <w:rPr/>
      </w:r>
    </w:p>
    <w:p>
      <w:pPr>
        <w:pStyle w:val="TextBody"/>
        <w:bidi w:val="0"/>
        <w:spacing w:lineRule="auto" w:line="288" w:before="60" w:after="283"/>
        <w:ind w:left="0" w:right="0" w:hanging="450"/>
        <w:jc w:val="center"/>
        <w:rPr>
          <w:rFonts w:ascii="Times New Roman;serif" w:hAnsi="Times New Roman;serif"/>
          <w:b/>
          <w:color w:val="000000"/>
          <w:sz w:val="24"/>
        </w:rPr>
      </w:pPr>
      <w:r>
        <w:rPr>
          <w:rFonts w:ascii="Times New Roman;serif" w:hAnsi="Times New Roman;serif"/>
          <w:b/>
          <w:color w:val="000000"/>
          <w:sz w:val="24"/>
        </w:rPr>
        <w:t>FOR THE TRANSITION PERIOD FROM______TO______</w:t>
      </w:r>
    </w:p>
    <w:p>
      <w:pPr>
        <w:pStyle w:val="TextBody"/>
        <w:bidi w:val="0"/>
        <w:spacing w:before="60" w:after="283"/>
        <w:ind w:left="0" w:right="0" w:hanging="450"/>
        <w:jc w:val="center"/>
        <w:rPr/>
      </w:pPr>
      <w:r>
        <w:rPr/>
      </w:r>
    </w:p>
    <w:p>
      <w:pPr>
        <w:pStyle w:val="TextBody"/>
        <w:bidi w:val="0"/>
        <w:spacing w:lineRule="auto" w:line="331" w:before="60" w:after="283"/>
        <w:jc w:val="center"/>
        <w:rPr>
          <w:rFonts w:ascii="Times New Roman;serif" w:hAnsi="Times New Roman;serif"/>
          <w:b/>
          <w:color w:val="000000"/>
          <w:sz w:val="20"/>
        </w:rPr>
      </w:pPr>
      <w:r>
        <w:rPr>
          <w:rFonts w:ascii="Times New Roman;serif" w:hAnsi="Times New Roman;serif"/>
          <w:b/>
          <w:color w:val="000000"/>
          <w:sz w:val="20"/>
        </w:rPr>
        <w:t>COMMISSION FILE NUMBER: 000-56163</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331" w:before="60" w:after="283"/>
        <w:jc w:val="center"/>
        <w:rPr>
          <w:rFonts w:ascii="Times New Roman;serif" w:hAnsi="Times New Roman;serif"/>
          <w:b/>
          <w:color w:val="000000"/>
          <w:sz w:val="48"/>
        </w:rPr>
      </w:pPr>
      <w:r>
        <w:rPr>
          <w:rFonts w:ascii="Times New Roman;serif" w:hAnsi="Times New Roman;serif"/>
          <w:b/>
          <w:color w:val="000000"/>
          <w:sz w:val="48"/>
        </w:rPr>
        <w:t>FS Credit Real Estate Income Trust, Inc.</w:t>
      </w:r>
    </w:p>
    <w:p>
      <w:pPr>
        <w:pStyle w:val="TextBody"/>
        <w:bidi w:val="0"/>
        <w:spacing w:lineRule="auto" w:line="331" w:before="40" w:after="283"/>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w:t>
      </w:r>
    </w:p>
    <w:tbl>
      <w:tblPr>
        <w:tblW w:w="3419" w:type="dxa"/>
        <w:jc w:val="center"/>
        <w:tblInd w:w="0" w:type="dxa"/>
        <w:tblLayout w:type="fixed"/>
        <w:tblCellMar>
          <w:top w:w="28" w:type="dxa"/>
          <w:left w:w="28" w:type="dxa"/>
          <w:bottom w:w="28" w:type="dxa"/>
          <w:right w:w="28" w:type="dxa"/>
        </w:tblCellMar>
      </w:tblPr>
      <w:tblGrid>
        <w:gridCol w:w="752"/>
        <w:gridCol w:w="663"/>
        <w:gridCol w:w="669"/>
        <w:gridCol w:w="390"/>
        <w:gridCol w:w="390"/>
        <w:gridCol w:w="555"/>
      </w:tblGrid>
      <w:tr>
        <w:trPr/>
        <w:tc>
          <w:tcPr>
            <w:tcW w:w="7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81-4446064</w:t>
            </w:r>
          </w:p>
        </w:tc>
      </w:tr>
      <w:tr>
        <w:trPr/>
        <w:tc>
          <w:tcPr>
            <w:tcW w:w="208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 of</w:t>
              <w:br/>
              <w:t>incorporation or organization)</w:t>
            </w:r>
          </w:p>
        </w:tc>
        <w:tc>
          <w:tcPr>
            <w:tcW w:w="1335"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bl>
    <w:tbl>
      <w:tblPr>
        <w:tblW w:w="3614" w:type="dxa"/>
        <w:jc w:val="center"/>
        <w:tblInd w:w="0" w:type="dxa"/>
        <w:tblLayout w:type="fixed"/>
        <w:tblCellMar>
          <w:top w:w="28" w:type="dxa"/>
          <w:left w:w="28" w:type="dxa"/>
          <w:bottom w:w="28" w:type="dxa"/>
          <w:right w:w="28" w:type="dxa"/>
        </w:tblCellMar>
      </w:tblPr>
      <w:tblGrid>
        <w:gridCol w:w="999"/>
        <w:gridCol w:w="878"/>
        <w:gridCol w:w="883"/>
        <w:gridCol w:w="250"/>
        <w:gridCol w:w="250"/>
        <w:gridCol w:w="3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3025 JFK Boulevard, OFC 500</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20"/>
              </w:rPr>
            </w:pPr>
            <w:r>
              <w:rPr>
                <w:rFonts w:ascii="Times New Roman;serif" w:hAnsi="Times New Roman;serif"/>
                <w:b/>
                <w:color w:val="000000"/>
                <w:sz w:val="20"/>
              </w:rPr>
              <w:t>Philadelphia, Pennsylvania</w:t>
            </w:r>
          </w:p>
        </w:tc>
        <w:tc>
          <w:tcPr>
            <w:tcW w:w="85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20"/>
              </w:rPr>
            </w:pPr>
            <w:r>
              <w:rPr>
                <w:rFonts w:ascii="Times New Roman;serif" w:hAnsi="Times New Roman;serif"/>
                <w:b/>
                <w:color w:val="000000"/>
                <w:sz w:val="20"/>
              </w:rPr>
              <w:t>19104</w:t>
            </w:r>
          </w:p>
        </w:tc>
      </w:tr>
      <w:tr>
        <w:trPr/>
        <w:tc>
          <w:tcPr>
            <w:tcW w:w="2760"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854" w:type="dxa"/>
            <w:gridSpan w:val="3"/>
            <w:tcBorders/>
            <w:tcMar>
              <w:top w:w="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331" w:before="120" w:after="283"/>
        <w:jc w:val="center"/>
        <w:rPr>
          <w:rFonts w:ascii="Times New Roman;serif" w:hAnsi="Times New Roman;serif"/>
          <w:b/>
          <w:color w:val="000000"/>
          <w:sz w:val="20"/>
        </w:rPr>
      </w:pPr>
      <w:r>
        <w:rPr>
          <w:rFonts w:ascii="Times New Roman;serif" w:hAnsi="Times New Roman;serif"/>
          <w:b/>
          <w:color w:val="000000"/>
          <w:sz w:val="20"/>
        </w:rPr>
        <w:t xml:space="preserve">(215) 495-1150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(Registrant's telephone number, including area code)</w:t>
      </w:r>
    </w:p>
    <w:p>
      <w:pPr>
        <w:pStyle w:val="TextBody"/>
        <w:bidi w:val="0"/>
        <w:spacing w:lineRule="auto" w:line="300"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 None.</w:t>
      </w:r>
    </w:p>
    <w:tbl>
      <w:tblPr>
        <w:tblW w:w="6493" w:type="dxa"/>
        <w:jc w:val="center"/>
        <w:tblInd w:w="0" w:type="dxa"/>
        <w:tblLayout w:type="fixed"/>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120" w:after="12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2;sans-serif" w:hAnsi="Wingdings 2;sans-serif"/>
          <w:b w:val="false"/>
          <w:color w:val="000000"/>
          <w:sz w:val="24"/>
        </w:rPr>
        <w:t>T</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120" w:after="120"/>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2;sans-serif" w:hAnsi="Wingdings 2;sans-serif"/>
          <w:b w:val="false"/>
          <w:color w:val="000000"/>
          <w:sz w:val="24"/>
        </w:rPr>
        <w:t>T</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B</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931" w:type="dxa"/>
        <w:jc w:val="center"/>
        <w:tblInd w:w="0" w:type="dxa"/>
        <w:tblLayout w:type="fixed"/>
        <w:tblCellMar>
          <w:top w:w="28" w:type="dxa"/>
          <w:left w:w="28" w:type="dxa"/>
          <w:bottom w:w="28" w:type="dxa"/>
          <w:right w:w="28" w:type="dxa"/>
        </w:tblCellMar>
      </w:tblPr>
      <w:tblGrid>
        <w:gridCol w:w="696"/>
        <w:gridCol w:w="612"/>
        <w:gridCol w:w="613"/>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 2;sans-serif" w:hAnsi="Wingdings 2;sans-serif"/>
                <w:b w:val="false"/>
                <w:color w:val="000000"/>
                <w:sz w:val="24"/>
              </w:rPr>
            </w:pPr>
            <w:r>
              <w:rPr>
                <w:rFonts w:ascii="Wingdings 2;sans-serif" w:hAnsi="Wingdings 2;sans-serif"/>
                <w:b w:val="false"/>
                <w:color w:val="000000"/>
                <w:sz w:val="24"/>
              </w:rPr>
              <w:t>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 2;sans-serif" w:hAnsi="Wingdings 2;sans-serif"/>
          <w:b w:val="false"/>
          <w:color w:val="000000"/>
          <w:sz w:val="24"/>
        </w:rPr>
        <w:t>T</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August 7, 2026, there were 583,911 outstanding shares of Class F common stock, 843,658 outstanding shares of Class Y common stock, 640,824 outstanding shares of Class T common stock, 68,239,080 outstanding shares of Class S common stock, 351,208 outstanding shares of Class D common stock, 3,414,659 outstanding shares of Class M common stock and 52,868,616 outstanding shares of Class I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B</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89"/>
        <w:gridCol w:w="483"/>
        <w:gridCol w:w="483"/>
        <w:gridCol w:w="2633"/>
        <w:gridCol w:w="2573"/>
        <w:gridCol w:w="2542"/>
        <w:gridCol w:w="109"/>
        <w:gridCol w:w="109"/>
        <w:gridCol w:w="109"/>
        <w:gridCol w:w="167"/>
        <w:gridCol w:w="167"/>
        <w:gridCol w:w="241"/>
      </w:tblGrid>
      <w:tr>
        <w:trPr/>
        <w:tc>
          <w:tcPr>
            <w:tcW w:w="58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0">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6">
              <w:r>
                <w:rPr>
                  <w:rStyle w:val="InternetLink"/>
                  <w:rFonts w:ascii="Times New Roman;serif" w:hAnsi="Times New Roman;serif"/>
                  <w:b w:val="false"/>
                  <w:color w:val="0000FF"/>
                  <w:sz w:val="20"/>
                  <w:u w:val="single"/>
                </w:rPr>
                <w:t>Consolidated Balance Sheets as of June 30, 2026 (Unaudited)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6">
              <w:r>
                <w:rPr>
                  <w:rStyle w:val="InternetLink"/>
                  <w:rFonts w:ascii="Times New Roman;serif" w:hAnsi="Times New Roman;serif"/>
                  <w:b w:val="false"/>
                  <w:color w:val="0000FF"/>
                  <w:sz w:val="20"/>
                  <w:u w:val="single"/>
                </w:rPr>
                <w:t>1</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9">
              <w:r>
                <w:rPr>
                  <w:rStyle w:val="InternetLink"/>
                  <w:rFonts w:ascii="Times New Roman;serif" w:hAnsi="Times New Roman;serif"/>
                  <w:b w:val="false"/>
                  <w:color w:val="0000FF"/>
                  <w:sz w:val="20"/>
                  <w:u w:val="single"/>
                </w:rPr>
                <w:t>Unaudited Consolidated Statements of Operations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9">
              <w:r>
                <w:rPr>
                  <w:rStyle w:val="InternetLink"/>
                  <w:rFonts w:ascii="Times New Roman;serif" w:hAnsi="Times New Roman;serif"/>
                  <w:b w:val="false"/>
                  <w:color w:val="0000FF"/>
                  <w:sz w:val="20"/>
                  <w:u w:val="single"/>
                </w:rPr>
                <w:t>2</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22">
              <w:r>
                <w:rPr>
                  <w:rStyle w:val="InternetLink"/>
                  <w:rFonts w:ascii="Times New Roman;serif" w:hAnsi="Times New Roman;serif"/>
                  <w:b w:val="false"/>
                  <w:color w:val="0000FF"/>
                  <w:sz w:val="20"/>
                  <w:u w:val="single"/>
                </w:rPr>
                <w:t>Unaudited Consolidated Statements of Comprehensive Income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22">
              <w:r>
                <w:rPr>
                  <w:rStyle w:val="InternetLink"/>
                  <w:rFonts w:ascii="Times New Roman;serif" w:hAnsi="Times New Roman;serif"/>
                  <w:b w:val="false"/>
                  <w:color w:val="0000FF"/>
                  <w:sz w:val="20"/>
                  <w:u w:val="single"/>
                </w:rPr>
                <w:t>3</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25">
              <w:r>
                <w:rPr>
                  <w:rStyle w:val="InternetLink"/>
                  <w:rFonts w:ascii="Times New Roman;serif" w:hAnsi="Times New Roman;serif"/>
                  <w:b w:val="false"/>
                  <w:color w:val="0000FF"/>
                  <w:sz w:val="20"/>
                  <w:u w:val="single"/>
                </w:rPr>
                <w:t>Unaudited Consolidated Statements of Changes in Equity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25">
              <w:r>
                <w:rPr>
                  <w:rStyle w:val="InternetLink"/>
                  <w:rFonts w:ascii="Times New Roman;serif" w:hAnsi="Times New Roman;serif"/>
                  <w:b w:val="false"/>
                  <w:color w:val="0000FF"/>
                  <w:sz w:val="20"/>
                  <w:u w:val="single"/>
                </w:rPr>
                <w:t>4</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28">
              <w:r>
                <w:rPr>
                  <w:rStyle w:val="InternetLink"/>
                  <w:rFonts w:ascii="Times New Roman;serif" w:hAnsi="Times New Roman;serif"/>
                  <w:b w:val="false"/>
                  <w:color w:val="0000FF"/>
                  <w:sz w:val="20"/>
                  <w:u w:val="single"/>
                </w:rPr>
                <w:t>Unaudited Consolidated Statements of Cash Flows for the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28">
              <w:r>
                <w:rPr>
                  <w:rStyle w:val="InternetLink"/>
                  <w:rFonts w:ascii="Times New Roman;serif" w:hAnsi="Times New Roman;serif"/>
                  <w:b w:val="false"/>
                  <w:color w:val="0000FF"/>
                  <w:sz w:val="20"/>
                  <w:u w:val="single"/>
                </w:rPr>
                <w:t>6</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31">
              <w:r>
                <w:rPr>
                  <w:rStyle w:val="InternetLink"/>
                  <w:rFonts w:ascii="Times New Roman;serif" w:hAnsi="Times New Roman;serif"/>
                  <w:b w:val="false"/>
                  <w:color w:val="0000FF"/>
                  <w:sz w:val="20"/>
                  <w:u w:val="single"/>
                </w:rPr>
                <w:t>Notes to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31">
              <w:r>
                <w:rPr>
                  <w:rStyle w:val="InternetLink"/>
                  <w:rFonts w:ascii="Times New Roman;serif" w:hAnsi="Times New Roman;serif"/>
                  <w:b w:val="false"/>
                  <w:color w:val="0000FF"/>
                  <w:sz w:val="20"/>
                  <w:u w:val="single"/>
                </w:rPr>
                <w:t>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65feb3b3da9443992561c24f69f838c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79">
              <w:r>
                <w:rPr>
                  <w:rStyle w:val="InternetLink"/>
                  <w:rFonts w:ascii="Times New Roman;serif" w:hAnsi="Times New Roman;serif"/>
                  <w:b w:val="false"/>
                  <w:color w:val="0000FF"/>
                  <w:sz w:val="20"/>
                  <w:u w:val="single"/>
                </w:rPr>
                <w:t>42</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09">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09">
              <w:r>
                <w:rPr>
                  <w:rStyle w:val="InternetLink"/>
                  <w:rFonts w:ascii="Times New Roman;serif" w:hAnsi="Times New Roman;serif"/>
                  <w:b w:val="false"/>
                  <w:color w:val="0000FF"/>
                  <w:sz w:val="20"/>
                  <w:u w:val="single"/>
                </w:rPr>
                <w:t>55</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12">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12">
              <w:r>
                <w:rPr>
                  <w:rStyle w:val="InternetLink"/>
                  <w:rFonts w:ascii="Times New Roman;serif" w:hAnsi="Times New Roman;serif"/>
                  <w:b w:val="false"/>
                  <w:color w:val="0000FF"/>
                  <w:sz w:val="20"/>
                  <w:u w:val="single"/>
                </w:rPr>
                <w:t>57</w:t>
              </w:r>
            </w:hyperlink>
          </w:p>
        </w:tc>
      </w:tr>
      <w:tr>
        <w:trPr/>
        <w:tc>
          <w:tcPr>
            <w:tcW w:w="9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18">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18">
              <w:r>
                <w:rPr>
                  <w:rStyle w:val="InternetLink"/>
                  <w:rFonts w:ascii="Times New Roman;serif" w:hAnsi="Times New Roman;serif"/>
                  <w:b w:val="false"/>
                  <w:color w:val="0000FF"/>
                  <w:sz w:val="20"/>
                  <w:u w:val="single"/>
                </w:rPr>
                <w:t>57</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21">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21">
              <w:r>
                <w:rPr>
                  <w:rStyle w:val="InternetLink"/>
                  <w:rFonts w:ascii="Times New Roman;serif" w:hAnsi="Times New Roman;serif"/>
                  <w:b w:val="false"/>
                  <w:color w:val="0000FF"/>
                  <w:sz w:val="20"/>
                  <w:u w:val="single"/>
                </w:rPr>
                <w:t>57</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24">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24">
              <w:r>
                <w:rPr>
                  <w:rStyle w:val="InternetLink"/>
                  <w:rFonts w:ascii="Times New Roman;serif" w:hAnsi="Times New Roman;serif"/>
                  <w:b w:val="false"/>
                  <w:color w:val="0000FF"/>
                  <w:sz w:val="20"/>
                  <w:u w:val="single"/>
                </w:rPr>
                <w:t>57</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27">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27">
              <w:r>
                <w:rPr>
                  <w:rStyle w:val="InternetLink"/>
                  <w:rFonts w:ascii="Times New Roman;serif" w:hAnsi="Times New Roman;serif"/>
                  <w:b w:val="false"/>
                  <w:color w:val="0000FF"/>
                  <w:sz w:val="20"/>
                  <w:u w:val="single"/>
                </w:rPr>
                <w:t>58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30">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30">
              <w:r>
                <w:rPr>
                  <w:rStyle w:val="InternetLink"/>
                  <w:rFonts w:ascii="Times New Roman;serif" w:hAnsi="Times New Roman;serif"/>
                  <w:b w:val="false"/>
                  <w:color w:val="0000FF"/>
                  <w:sz w:val="20"/>
                  <w:u w:val="single"/>
                </w:rPr>
                <w:t>58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33">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33">
              <w:r>
                <w:rPr>
                  <w:rStyle w:val="InternetLink"/>
                  <w:rFonts w:ascii="Times New Roman;serif" w:hAnsi="Times New Roman;serif"/>
                  <w:b w:val="false"/>
                  <w:color w:val="0000FF"/>
                  <w:sz w:val="20"/>
                  <w:u w:val="single"/>
                </w:rPr>
                <w:t>58</w:t>
              </w:r>
            </w:hyperlink>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36">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36">
              <w:r>
                <w:rPr>
                  <w:rStyle w:val="InternetLink"/>
                  <w:rFonts w:ascii="Times New Roman;serif" w:hAnsi="Times New Roman;serif"/>
                  <w:b w:val="false"/>
                  <w:color w:val="0000FF"/>
                  <w:sz w:val="20"/>
                  <w:u w:val="single"/>
                </w:rPr>
                <w:t>59</w:t>
              </w:r>
            </w:hyperlink>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5feb3b3da9443992561c24f69f838c_139">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5feb3b3da9443992561c24f69f838c_139">
              <w:r>
                <w:rPr>
                  <w:rStyle w:val="InternetLink"/>
                  <w:rFonts w:ascii="Times New Roman;serif" w:hAnsi="Times New Roman;serif"/>
                  <w:b w:val="false"/>
                  <w:color w:val="0000FF"/>
                  <w:sz w:val="20"/>
                  <w:u w:val="single"/>
                </w:rPr>
                <w:t>60</w:t>
              </w:r>
            </w:hyperlink>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B</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0" w:after="0"/>
        <w:jc w:val="center"/>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 xml:space="preserve">FS Credit Real Estate Income Trust,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amounts)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508"/>
        <w:gridCol w:w="2061"/>
        <w:gridCol w:w="2092"/>
        <w:gridCol w:w="271"/>
        <w:gridCol w:w="1334"/>
        <w:gridCol w:w="150"/>
        <w:gridCol w:w="109"/>
        <w:gridCol w:w="109"/>
        <w:gridCol w:w="109"/>
        <w:gridCol w:w="218"/>
        <w:gridCol w:w="1070"/>
        <w:gridCol w:w="174"/>
      </w:tblGrid>
      <w:tr>
        <w:trPr/>
        <w:tc>
          <w:tcPr>
            <w:tcW w:w="2508"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174,100 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265,361 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87,224 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Loans receivable, held-for-investment, net of credit loss allowances of $69,864 and $77,270</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8,421,115 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7,764,337 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Mortgage-backed securities held-to-maturity, net of credit loss allowances of $0 and $59</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Mortgage-backed securities, at fair value, credit loss allowances of $23,813 and $23,895</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193,906 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201,618 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in real estate, held-for-investment</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514,424 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423,363 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in real estate, held-for-sale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116,851 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223,167 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Receivable for investments sold and repaid</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receivable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100,331 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held in securitization trusts, at fair value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1,754,665 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2,654,570 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Total assets</w:t>
            </w:r>
            <w:r>
              <w:rPr>
                <w:rFonts w:ascii="Times New Roman;serif" w:hAnsi="Times New Roman;serif"/>
                <w:b/>
                <w:color w:val="000000"/>
                <w:sz w:val="11"/>
              </w:rPr>
              <w:t>(1)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11,375,746 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11,759,144 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loan obligations, net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3,317,879 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2,510,160 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agreements payable, net</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2,238,780 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2,663,928 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Credit facilities payable, net</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1,121,452 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1,042,958 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note payable, net</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124,700 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Due to related party</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86,901 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payable</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Payable for shares repurchased</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obligations issued by securitization trusts, at fair value</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1,614,280 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2,408,636 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Total liabilities</w:t>
            </w:r>
            <w:r>
              <w:rPr>
                <w:rFonts w:ascii="Times New Roman;serif" w:hAnsi="Times New Roman;serif"/>
                <w:b/>
                <w:color w:val="000000"/>
                <w:sz w:val="11"/>
              </w:rPr>
              <w:t>(1)</w:t>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8,606,297 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8,942,438 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(See Note 11)</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Preferred stock, $0.01 par value, 100,000,000 shares authorized, 125 and 125 issued and outstanding, respectively</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F common stock, $0.01 par value, 125,000,000 shares authorized, 582,636 and 583,372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Y common stock, $0.01 par value, 125,000,000 shares authorized, 843,658 and 843,658 issued and outstanding, respectively </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T common stock, $0.01 par value, 125,000,000 shares authorized, 664,169 and 695,928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S common stock, $0.01 par value, 125,000,000 shares authorized, 66,581,300 and 67,157,395 issued and outstanding, respectively </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D common stock, $0.01 par value, 125,000,000 shares authorized, 354,021 and 372,610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M common stock, $0.01 par value, 125,000,000 shares authorized, 3,421,662 and 3,864,662 issued and outstanding, respectively </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 xml:space="preserve">Class I common stock, $0.01 par value, 300,000,000 shares authorized, 49,312,173 and 49,713,386 issued and outstanding, respectively </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2,968,627 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2,977,770 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 (accumulated deficit)</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(198,689)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(160,896)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stockholders' equity</w:t>
            </w:r>
          </w:p>
        </w:tc>
        <w:tc>
          <w:tcPr>
            <w:tcW w:w="1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2,769,449 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2,816,706 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11,375,746 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11,759,144 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4"/>
        </w:rPr>
        <w:t>(1)    </w:t>
      </w:r>
      <w:r>
        <w:rPr>
          <w:rFonts w:ascii="Times New Roman;serif" w:hAnsi="Times New Roman;serif"/>
          <w:b w:val="false"/>
          <w:color w:val="000000"/>
          <w:sz w:val="16"/>
        </w:rPr>
        <w:t>The June 30, 2026 and December 31, 2025 consolidated balance sheets include assets of consolidated variable interest entities, or VIEs, that can only be used to settle obligations of the VIEs, and liabilities of consolidated VIEs for which creditors do not have recourse to FS Credit Real Estate Income Trust, Inc. As of June 30, 2026 and December 31, 2025, assets of the VIEs totaled $5,763,975 and $5,709,015, respectively, and liabilities of the VIEs totaled $4,938,775 and $4,924,443, respectively. See Note 10 to our consolidated financial statements included herein for further details.</w:t>
      </w:r>
    </w:p>
    <w:p>
      <w:pPr>
        <w:pStyle w:val="TextBody"/>
        <w:bidi w:val="0"/>
        <w:spacing w:before="0" w:after="6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840"/>
                <wp:effectExtent l="0" t="0" r="0" b="0"/>
                <wp:wrapNone/>
                <wp:docPr id="20" name="Frame1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before="0" w:after="0"/>
        <w:jc w:val="center"/>
        <w:rPr/>
      </w:pPr>
      <w:r>
        <w:rPr/>
      </w:r>
    </w:p>
    <w:p>
      <w:pPr>
        <w:pStyle w:val="TextBody"/>
        <w:bidi w:val="0"/>
        <w:spacing w:before="10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05"/>
        <w:gridCol w:w="1239"/>
        <w:gridCol w:w="1243"/>
        <w:gridCol w:w="109"/>
        <w:gridCol w:w="109"/>
        <w:gridCol w:w="109"/>
        <w:gridCol w:w="221"/>
        <w:gridCol w:w="830"/>
        <w:gridCol w:w="113"/>
        <w:gridCol w:w="113"/>
        <w:gridCol w:w="113"/>
        <w:gridCol w:w="113"/>
        <w:gridCol w:w="221"/>
        <w:gridCol w:w="830"/>
        <w:gridCol w:w="113"/>
        <w:gridCol w:w="109"/>
        <w:gridCol w:w="109"/>
        <w:gridCol w:w="109"/>
        <w:gridCol w:w="221"/>
        <w:gridCol w:w="830"/>
        <w:gridCol w:w="109"/>
        <w:gridCol w:w="109"/>
        <w:gridCol w:w="109"/>
        <w:gridCol w:w="109"/>
        <w:gridCol w:w="221"/>
        <w:gridCol w:w="830"/>
        <w:gridCol w:w="159"/>
      </w:tblGrid>
      <w:tr>
        <w:trPr/>
        <w:tc>
          <w:tcPr>
            <w:tcW w:w="17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on mortgage loans held in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expense on mortgage obligations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130,070 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Expense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Expense recoupment to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 on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 on mortgage-backed securities, fair value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mortgage loans and obligations held in securitization trusts,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real estate,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70,461 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FS Credit Real Estate Income Trust,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information—basic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122,701,902 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119,976,846 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123,502,653 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121,239,780 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126,325,835 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122,396,378 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127,039,129 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123,492,967 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7130"/>
                <wp:effectExtent l="0" t="0" r="0" b="0"/>
                <wp:wrapNone/>
                <wp:docPr id="21" name="Frame18"/>
                <a:graphic xmlns:a="http://schemas.openxmlformats.org/drawingml/2006/main">
                  <a:graphicData uri="http://schemas.microsoft.com/office/word/2010/wordprocessingShape">
                    <wps:wsp>
                      <wps:cNvSpPr txBox="1"/>
                      <wps:spPr>
                        <a:xfrm>
                          <a:off x="0" y="0"/>
                          <a:ext cx="6480175" cy="11671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76"/>
        <w:gridCol w:w="1548"/>
        <w:gridCol w:w="1563"/>
        <w:gridCol w:w="109"/>
        <w:gridCol w:w="109"/>
        <w:gridCol w:w="109"/>
        <w:gridCol w:w="210"/>
        <w:gridCol w:w="692"/>
        <w:gridCol w:w="116"/>
        <w:gridCol w:w="116"/>
        <w:gridCol w:w="116"/>
        <w:gridCol w:w="116"/>
        <w:gridCol w:w="210"/>
        <w:gridCol w:w="692"/>
        <w:gridCol w:w="116"/>
        <w:gridCol w:w="109"/>
        <w:gridCol w:w="109"/>
        <w:gridCol w:w="109"/>
        <w:gridCol w:w="196"/>
        <w:gridCol w:w="646"/>
        <w:gridCol w:w="109"/>
        <w:gridCol w:w="109"/>
        <w:gridCol w:w="109"/>
        <w:gridCol w:w="109"/>
        <w:gridCol w:w="196"/>
        <w:gridCol w:w="646"/>
        <w:gridCol w:w="160"/>
      </w:tblGrid>
      <w:tr>
        <w:trPr/>
        <w:tc>
          <w:tcPr>
            <w:tcW w:w="177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 on mortgage-backed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71,288 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7130"/>
                <wp:effectExtent l="0" t="0" r="0" b="0"/>
                <wp:wrapNone/>
                <wp:docPr id="22" name="Frame19"/>
                <a:graphic xmlns:a="http://schemas.openxmlformats.org/drawingml/2006/main">
                  <a:graphicData uri="http://schemas.microsoft.com/office/word/2010/wordprocessingShape">
                    <wps:wsp>
                      <wps:cNvSpPr txBox="1"/>
                      <wps:spPr>
                        <a:xfrm>
                          <a:off x="0" y="0"/>
                          <a:ext cx="6480175" cy="11671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60" w:after="120"/>
                        <w:ind w:left="0" w:right="0" w:hanging="450"/>
                        <w:jc w:val="left"/>
                        <w:rPr/>
                      </w:pPr>
                      <w:r>
                        <w:rPr/>
                      </w:r>
                    </w:p>
                    <w:p>
                      <w:pPr>
                        <w:pStyle w:val="TextBody"/>
                        <w:bidi w:val="0"/>
                        <w:spacing w:lineRule="auto" w:line="288" w:before="0" w:after="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Changes in Equity</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4869" w:type="dxa"/>
        <w:jc w:val="left"/>
        <w:tblInd w:w="0" w:type="dxa"/>
        <w:tblLayout w:type="fixed"/>
        <w:tblCellMar>
          <w:top w:w="28" w:type="dxa"/>
          <w:left w:w="28" w:type="dxa"/>
          <w:bottom w:w="28" w:type="dxa"/>
          <w:right w:w="28" w:type="dxa"/>
        </w:tblCellMar>
      </w:tblPr>
      <w:tblGrid>
        <w:gridCol w:w="726"/>
        <w:gridCol w:w="229"/>
        <w:gridCol w:w="231"/>
        <w:gridCol w:w="109"/>
        <w:gridCol w:w="109"/>
        <w:gridCol w:w="109"/>
        <w:gridCol w:w="274"/>
        <w:gridCol w:w="338"/>
        <w:gridCol w:w="154"/>
        <w:gridCol w:w="109"/>
        <w:gridCol w:w="109"/>
        <w:gridCol w:w="109"/>
        <w:gridCol w:w="274"/>
        <w:gridCol w:w="338"/>
        <w:gridCol w:w="154"/>
        <w:gridCol w:w="109"/>
        <w:gridCol w:w="109"/>
        <w:gridCol w:w="109"/>
        <w:gridCol w:w="274"/>
        <w:gridCol w:w="338"/>
        <w:gridCol w:w="154"/>
        <w:gridCol w:w="109"/>
        <w:gridCol w:w="109"/>
        <w:gridCol w:w="109"/>
        <w:gridCol w:w="206"/>
        <w:gridCol w:w="444"/>
        <w:gridCol w:w="116"/>
        <w:gridCol w:w="109"/>
        <w:gridCol w:w="109"/>
        <w:gridCol w:w="109"/>
        <w:gridCol w:w="274"/>
        <w:gridCol w:w="338"/>
        <w:gridCol w:w="154"/>
        <w:gridCol w:w="109"/>
        <w:gridCol w:w="109"/>
        <w:gridCol w:w="109"/>
        <w:gridCol w:w="236"/>
        <w:gridCol w:w="398"/>
        <w:gridCol w:w="132"/>
        <w:gridCol w:w="109"/>
        <w:gridCol w:w="109"/>
        <w:gridCol w:w="109"/>
        <w:gridCol w:w="206"/>
        <w:gridCol w:w="444"/>
        <w:gridCol w:w="116"/>
        <w:gridCol w:w="109"/>
        <w:gridCol w:w="109"/>
        <w:gridCol w:w="109"/>
        <w:gridCol w:w="196"/>
        <w:gridCol w:w="871"/>
        <w:gridCol w:w="109"/>
        <w:gridCol w:w="109"/>
        <w:gridCol w:w="109"/>
        <w:gridCol w:w="109"/>
        <w:gridCol w:w="272"/>
        <w:gridCol w:w="792"/>
        <w:gridCol w:w="152"/>
        <w:gridCol w:w="109"/>
        <w:gridCol w:w="109"/>
        <w:gridCol w:w="109"/>
        <w:gridCol w:w="196"/>
        <w:gridCol w:w="806"/>
        <w:gridCol w:w="109"/>
        <w:gridCol w:w="327"/>
        <w:gridCol w:w="196"/>
        <w:gridCol w:w="87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Accumulated Other Comprehensive 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2,797,445 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contingent rights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8"/>
        </w:rPr>
        <w:t>(1)    </w:t>
      </w:r>
      <w:r>
        <w:rPr>
          <w:rFonts w:ascii="Times New Roman;serif" w:hAnsi="Times New Roman;serif"/>
          <w:b w:val="false"/>
          <w:color w:val="000000"/>
          <w:sz w:val="18"/>
          <w:shd w:fill="FFFFFF" w:val="clear"/>
        </w:rPr>
        <w:t>Comprised solely of unrealized gain (loss) on mortgage-backed securities, available for sale</w:t>
      </w:r>
    </w:p>
    <w:p>
      <w:pPr>
        <w:pStyle w:val="TextBody"/>
        <w:bidi w:val="0"/>
        <w:spacing w:lineRule="auto" w:line="26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820670"/>
                <wp:effectExtent l="0" t="0" r="0" b="0"/>
                <wp:wrapNone/>
                <wp:docPr id="23" name="Frame20"/>
                <a:graphic xmlns:a="http://schemas.openxmlformats.org/drawingml/2006/main">
                  <a:graphicData uri="http://schemas.microsoft.com/office/word/2010/wordprocessingShape">
                    <wps:wsp>
                      <wps:cNvSpPr txBox="1"/>
                      <wps:spPr>
                        <a:xfrm>
                          <a:off x="0" y="0"/>
                          <a:ext cx="6480175" cy="2820670"/>
                        </a:xfrm>
                        <a:prstGeom prst="rect"/>
                        <a:solidFill>
                          <a:srgbClr val="FFFFFF"/>
                        </a:solidFill>
                      </wps:spPr>
                      <wps:txbx>
                        <w:txbxContent>
                          <w:p>
                            <w:pPr>
                              <w:pStyle w:val="TextBody"/>
                              <w:bidi w:val="0"/>
                              <w:spacing w:before="60" w:after="120"/>
                              <w:ind w:left="0" w:right="0" w:hanging="450"/>
                              <w:jc w:val="left"/>
                              <w:rPr/>
                            </w:pPr>
                            <w:r>
                              <w:rPr/>
                            </w:r>
                            <w:r>
                              <w:br w:type="page"/>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60" w:after="120"/>
                              <w:ind w:left="0" w:right="0" w:hanging="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60" w:after="120"/>
                        <w:ind w:left="0" w:right="0" w:hanging="45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Changes in Equity</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60"/>
        <w:ind w:left="0" w:right="0" w:hanging="54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4869" w:type="dxa"/>
        <w:jc w:val="left"/>
        <w:tblInd w:w="0" w:type="dxa"/>
        <w:tblLayout w:type="fixed"/>
        <w:tblCellMar>
          <w:top w:w="28" w:type="dxa"/>
          <w:left w:w="28" w:type="dxa"/>
          <w:bottom w:w="28" w:type="dxa"/>
          <w:right w:w="28" w:type="dxa"/>
        </w:tblCellMar>
      </w:tblPr>
      <w:tblGrid>
        <w:gridCol w:w="726"/>
        <w:gridCol w:w="229"/>
        <w:gridCol w:w="231"/>
        <w:gridCol w:w="109"/>
        <w:gridCol w:w="109"/>
        <w:gridCol w:w="109"/>
        <w:gridCol w:w="274"/>
        <w:gridCol w:w="338"/>
        <w:gridCol w:w="154"/>
        <w:gridCol w:w="109"/>
        <w:gridCol w:w="109"/>
        <w:gridCol w:w="109"/>
        <w:gridCol w:w="274"/>
        <w:gridCol w:w="338"/>
        <w:gridCol w:w="154"/>
        <w:gridCol w:w="109"/>
        <w:gridCol w:w="109"/>
        <w:gridCol w:w="109"/>
        <w:gridCol w:w="274"/>
        <w:gridCol w:w="338"/>
        <w:gridCol w:w="154"/>
        <w:gridCol w:w="109"/>
        <w:gridCol w:w="109"/>
        <w:gridCol w:w="109"/>
        <w:gridCol w:w="206"/>
        <w:gridCol w:w="444"/>
        <w:gridCol w:w="116"/>
        <w:gridCol w:w="109"/>
        <w:gridCol w:w="109"/>
        <w:gridCol w:w="109"/>
        <w:gridCol w:w="274"/>
        <w:gridCol w:w="338"/>
        <w:gridCol w:w="154"/>
        <w:gridCol w:w="109"/>
        <w:gridCol w:w="109"/>
        <w:gridCol w:w="109"/>
        <w:gridCol w:w="236"/>
        <w:gridCol w:w="398"/>
        <w:gridCol w:w="132"/>
        <w:gridCol w:w="109"/>
        <w:gridCol w:w="109"/>
        <w:gridCol w:w="109"/>
        <w:gridCol w:w="206"/>
        <w:gridCol w:w="444"/>
        <w:gridCol w:w="116"/>
        <w:gridCol w:w="109"/>
        <w:gridCol w:w="109"/>
        <w:gridCol w:w="109"/>
        <w:gridCol w:w="196"/>
        <w:gridCol w:w="871"/>
        <w:gridCol w:w="109"/>
        <w:gridCol w:w="109"/>
        <w:gridCol w:w="109"/>
        <w:gridCol w:w="109"/>
        <w:gridCol w:w="272"/>
        <w:gridCol w:w="792"/>
        <w:gridCol w:w="152"/>
        <w:gridCol w:w="109"/>
        <w:gridCol w:w="109"/>
        <w:gridCol w:w="109"/>
        <w:gridCol w:w="196"/>
        <w:gridCol w:w="806"/>
        <w:gridCol w:w="109"/>
        <w:gridCol w:w="327"/>
        <w:gridCol w:w="196"/>
        <w:gridCol w:w="87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Accumulated Other Comprehensive 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contingent rights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distribution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8"/>
        </w:rPr>
        <w:t>(1)    </w:t>
      </w:r>
      <w:r>
        <w:rPr>
          <w:rFonts w:ascii="Times New Roman;serif" w:hAnsi="Times New Roman;serif"/>
          <w:b w:val="false"/>
          <w:color w:val="000000"/>
          <w:sz w:val="18"/>
          <w:shd w:fill="FFFFFF" w:val="clear"/>
        </w:rPr>
        <w:t>Comprised solely of unrealized gain (loss) on mortgage-backed securities, available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820670"/>
                <wp:effectExtent l="0" t="0" r="0" b="0"/>
                <wp:wrapNone/>
                <wp:docPr id="24" name="Frame21"/>
                <a:graphic xmlns:a="http://schemas.openxmlformats.org/drawingml/2006/main">
                  <a:graphicData uri="http://schemas.microsoft.com/office/word/2010/wordprocessingShape">
                    <wps:wsp>
                      <wps:cNvSpPr txBox="1"/>
                      <wps:spPr>
                        <a:xfrm>
                          <a:off x="0" y="0"/>
                          <a:ext cx="6480175" cy="2820670"/>
                        </a:xfrm>
                        <a:prstGeom prst="rect"/>
                        <a:solidFill>
                          <a:srgbClr val="FFFFFF"/>
                        </a:solidFill>
                      </wps:spPr>
                      <wps:txbx>
                        <w:txbxContent>
                          <w:p>
                            <w:pPr>
                              <w:pStyle w:val="TextBody"/>
                              <w:bidi w:val="0"/>
                              <w:spacing w:before="60" w:after="120"/>
                              <w:ind w:left="0" w:right="0" w:hanging="450"/>
                              <w:jc w:val="left"/>
                              <w:rPr/>
                            </w:pPr>
                            <w:r>
                              <w:rPr/>
                            </w:r>
                            <w:r>
                              <w:br w:type="page"/>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60" w:after="120"/>
                              <w:ind w:left="0" w:right="0" w:hanging="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450"/>
                        <w:jc w:val="left"/>
                        <w:rPr/>
                      </w:pPr>
                      <w:r>
                        <w:rPr/>
                      </w:r>
                    </w:p>
                    <w:p>
                      <w:pPr>
                        <w:pStyle w:val="TextBody"/>
                        <w:bidi w:val="0"/>
                        <w:spacing w:before="60" w:after="120"/>
                        <w:ind w:left="0" w:right="0" w:hanging="540"/>
                        <w:jc w:val="left"/>
                        <w:rPr/>
                      </w:pPr>
                      <w:r>
                        <w:rPr/>
                      </w:r>
                    </w:p>
                    <w:p>
                      <w:pPr>
                        <w:pStyle w:val="TextBody"/>
                        <w:bidi w:val="0"/>
                        <w:spacing w:before="60" w:after="120"/>
                        <w:ind w:left="0" w:right="0" w:hanging="450"/>
                        <w:jc w:val="center"/>
                        <w:rPr/>
                      </w:pPr>
                      <w:r>
                        <w:rPr/>
                      </w:r>
                    </w:p>
                    <w:p>
                      <w:pPr>
                        <w:pStyle w:val="TextBody"/>
                        <w:bidi w:val="0"/>
                        <w:spacing w:before="60" w:after="120"/>
                        <w:ind w:left="0" w:right="0" w:hanging="450"/>
                        <w:jc w:val="center"/>
                        <w:rPr/>
                      </w:pPr>
                      <w:r>
                        <w:rPr/>
                      </w:r>
                    </w:p>
                    <w:p>
                      <w:pPr>
                        <w:pStyle w:val="TextBody"/>
                        <w:bidi w:val="0"/>
                        <w:spacing w:lineRule="auto" w:line="288" w:before="60" w:after="120"/>
                        <w:ind w:left="0" w:right="0" w:hanging="45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lineRule="auto" w:line="288" w:before="6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60" w:after="120"/>
                        <w:ind w:left="0" w:right="0" w:hanging="45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445" w:type="dxa"/>
        <w:jc w:val="center"/>
        <w:tblInd w:w="0" w:type="dxa"/>
        <w:tblLayout w:type="fixed"/>
        <w:tblCellMar>
          <w:top w:w="28" w:type="dxa"/>
          <w:left w:w="28" w:type="dxa"/>
          <w:bottom w:w="28" w:type="dxa"/>
          <w:right w:w="28" w:type="dxa"/>
        </w:tblCellMar>
      </w:tblPr>
      <w:tblGrid>
        <w:gridCol w:w="2325"/>
        <w:gridCol w:w="2040"/>
        <w:gridCol w:w="2055"/>
        <w:gridCol w:w="109"/>
        <w:gridCol w:w="109"/>
        <w:gridCol w:w="109"/>
        <w:gridCol w:w="198"/>
        <w:gridCol w:w="747"/>
        <w:gridCol w:w="109"/>
        <w:gridCol w:w="109"/>
        <w:gridCol w:w="109"/>
        <w:gridCol w:w="109"/>
        <w:gridCol w:w="198"/>
        <w:gridCol w:w="747"/>
        <w:gridCol w:w="109"/>
        <w:gridCol w:w="109"/>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contingent rights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fees on loans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valuation of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mortgage-backed securities, 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mortgage loans and obligations held in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real estate,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Reimbursement due from (due to) sponsor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and fundings of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from loans receivable,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Exit and extension fees received on loans receivable,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mortgage-backed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mortgage-backed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mortgage loans held in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mortgage loans held in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improvements to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distributions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 servicing fees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98880"/>
                <wp:effectExtent l="0" t="0" r="0" b="0"/>
                <wp:wrapNone/>
                <wp:docPr id="25" name="Frame22"/>
                <a:graphic xmlns:a="http://schemas.openxmlformats.org/drawingml/2006/main">
                  <a:graphicData uri="http://schemas.microsoft.com/office/word/2010/wordprocessingShape">
                    <wps:wsp>
                      <wps:cNvSpPr txBox="1"/>
                      <wps:spPr>
                        <a:xfrm>
                          <a:off x="0" y="0"/>
                          <a:ext cx="6480175" cy="11988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101" w:type="dxa"/>
        <w:jc w:val="center"/>
        <w:tblInd w:w="0" w:type="dxa"/>
        <w:tblLayout w:type="fixed"/>
        <w:tblCellMar>
          <w:top w:w="28" w:type="dxa"/>
          <w:left w:w="28" w:type="dxa"/>
          <w:bottom w:w="28" w:type="dxa"/>
          <w:right w:w="28" w:type="dxa"/>
        </w:tblCellMar>
      </w:tblPr>
      <w:tblGrid>
        <w:gridCol w:w="2599"/>
        <w:gridCol w:w="2280"/>
        <w:gridCol w:w="2291"/>
        <w:gridCol w:w="109"/>
        <w:gridCol w:w="109"/>
        <w:gridCol w:w="109"/>
        <w:gridCol w:w="196"/>
        <w:gridCol w:w="811"/>
        <w:gridCol w:w="109"/>
        <w:gridCol w:w="109"/>
        <w:gridCol w:w="109"/>
        <w:gridCol w:w="109"/>
        <w:gridCol w:w="196"/>
        <w:gridCol w:w="811"/>
        <w:gridCol w:w="154"/>
      </w:tblGrid>
      <w:tr>
        <w:trPr/>
        <w:tc>
          <w:tcPr>
            <w:tcW w:w="259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 and non-cash financial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stockholder servicing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stockholder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principal payments held by servicer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investments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(773,905)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Modifications accounted for as repayments and new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loans receivable held-for-investments to investments in real estate,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investments in real estate, held-for-sale to investments in real estate,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98880"/>
                <wp:effectExtent l="0" t="0" r="0" b="0"/>
                <wp:wrapNone/>
                <wp:docPr id="26" name="Frame23"/>
                <a:graphic xmlns:a="http://schemas.openxmlformats.org/drawingml/2006/main">
                  <a:graphicData uri="http://schemas.microsoft.com/office/word/2010/wordprocessingShape">
                    <wps:wsp>
                      <wps:cNvSpPr txBox="1"/>
                      <wps:spPr>
                        <a:xfrm>
                          <a:off x="0" y="0"/>
                          <a:ext cx="6480175" cy="11988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Principal Business and Organization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Credit Real Estate Income Trust, Inc. (the "Company"), was incorporated under the general corporation laws of the State of Maryland on November 7, 2016 and formally commenced investment operations on September 13, 2017. The Company is managed by FS Real Estate Advisor, LLC, ("FS Real Estate Advisor" or the "adviser"), a subsidiary of the Company’s sponsor, Franklin Square Holdings, L.P., which does business as Future Standard ("Future Standard"), a national sponsor of alternative investment funds designed for the individual investor. FS Real Estate Advisor has engaged Rialto Capital Management, LLC, ("Rialto" or the "sub-adviser") to act as its sub-adviser. The Company is currently conducting a public offering of up to $2,500,000 of its Class T, Class S, Class D, Class M and Class I shares of common stock pursuant to a registration statement on Form S-11 filed with the Securities and Exchange Commission (the "SEC"), consisting of up to $2,250,000 in shares in its primary offering and up to $250,000 in shares pursuant to its distribution reinvestment plan. The Company is also conducting a private offering of its Class I common stock to certain accredited investors.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be taxed as a real estate investment trust ("REIT") for U.S. federal income tax purposes commencing with its taxable year ended December 31, 2017. The Company intends to be an investment vehicle of indefinite duration focused on real estate debt investments and other real estate-related assets. The shares of common stock are generally intended to be sold and repurchased by the Company on a continuous basis. The Company intends to conduct its operations so that it is not required to register under the Investment Company Act of 1940, as amended (the "1940 Act").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primary investment objectives are to: provide current income in the form of regular, stable cash distributions to achieve an attractive distribution yield; preserve and protect invested capital; realize appreciation in net asset value ("NAV") from proactive investment management and asset management; and provide an investment alternative for stockholders seeking to allocate a portion of their long-term investment portfolios to commercial real estate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Basis of Presentation: </w:t>
      </w:r>
      <w:r>
        <w:rPr>
          <w:rFonts w:ascii="Times New Roman;serif" w:hAnsi="Times New Roman;serif"/>
          <w:b w:val="false"/>
          <w:color w:val="000000"/>
          <w:sz w:val="20"/>
        </w:rPr>
        <w:t xml:space="preserve">The accompanying unaudited consolidated financial statements of the Company have been prepared in accordance with U.S. generally accepted accounting principles ("GAAP"). The unaudited consolidated financial statements include both the Company’s accounts and the accounts of its wholly owned subsidiaries and variable interest entities ("VIEs"), of which the Company is the primary beneficiary, as of June 30, 2026. All significant intercompany transactions have been eliminated in consolidation. In the opinion of management, the accompanying unaudited consolidated financial statements reflect all adjustments, which are normal and recurring in nature, necessary for fair financial statement presentation. The operating results presented for interim periods are not necessarily indicative of the results that may be expected for any other interim period or for the entire year. The Company has evaluated the impact of subsequent events through the date the unaudited consolidated financial statements were issued.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Use of Estimates: </w:t>
      </w:r>
      <w:r>
        <w:rPr>
          <w:rFonts w:ascii="Times New Roman;serif" w:hAnsi="Times New Roman;serif"/>
          <w:b w:val="false"/>
          <w:color w:val="000000"/>
          <w:sz w:val="20"/>
        </w:rPr>
        <w:t xml:space="preserve">The preparation of the unaudited consolidated financial statements in accordance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Principles of Consolidation: </w:t>
      </w:r>
      <w:r>
        <w:rPr>
          <w:rFonts w:ascii="Times New Roman;serif" w:hAnsi="Times New Roman;serif"/>
          <w:b w:val="false"/>
          <w:color w:val="000000"/>
          <w:sz w:val="20"/>
        </w:rPr>
        <w:t xml:space="preserve">Financial Accounting Standards Board ("FASB"), Accounting Standards Codification ("ASC") Topic 810—Consolidation, or ASC Topic 810, provides guidance on the identification of a VIE (an entity for which control is achieved through means other than voting rights) and the determination of which business enterprise, if any, should consolidate the VIE. An entity is considered a VIE if any of the following applies: (1) the equity investors (if any) lack one or more of the essential characteristics of a controlling financial interest; (2) the equity investment at risk is insufficient to finance that entity’s activities without additional subordinated financial support; or (3) the equity investors have voting rights that are not proportionate to their economic interests and the activities of the entity involve or are conducted on behalf of an investor with a disproportionately small voting interest.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 For the Company's consolidated securitization VIEs, the third party ownership interests are reflected as liabilities in the Company's consolidated balance sheets because the beneficial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interests payable to these third parties are legally issued in the form of debt. The Company's presentation of net income attributes earnings to controlling and non-controlling interests. Refer to Note 10 for additional discussion of the Company's VIEs.</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Cash, Cash Equivalents and Restricted Cash: </w:t>
      </w:r>
      <w:r>
        <w:rPr>
          <w:rFonts w:ascii="Times New Roman;serif" w:hAnsi="Times New Roman;serif"/>
          <w:b w:val="false"/>
          <w:color w:val="000000"/>
          <w:sz w:val="20"/>
        </w:rPr>
        <w:t>The Company considers all highly liquid investments with original maturities of three months or less to be cash equivalents. The Company's uninvested cash is maintained with high credit quality financial institutions, which are members of the Federal Deposit Insurance Corporation. The Company's cash is held with major financial institutions and generally exceed federally insured limits. Restricted cash primarily represents cash held in accounts to fund additional collateral interests within the Company's collateralized loan obligations as well as cash held at the property level of the Company's investments in real estate.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cash equivalents and restricted cash in the Company’s unaudited consolidated balance sheets to the total amount shown in the Company’s unaudited consolidated statements of cash flows: </w:t>
      </w:r>
    </w:p>
    <w:tbl>
      <w:tblPr>
        <w:tblW w:w="6608" w:type="dxa"/>
        <w:jc w:val="left"/>
        <w:tblInd w:w="0" w:type="dxa"/>
        <w:tblLayout w:type="fixed"/>
        <w:tblCellMar>
          <w:top w:w="28" w:type="dxa"/>
          <w:left w:w="28" w:type="dxa"/>
          <w:bottom w:w="28" w:type="dxa"/>
          <w:right w:w="28" w:type="dxa"/>
        </w:tblCellMar>
      </w:tblPr>
      <w:tblGrid>
        <w:gridCol w:w="1429"/>
        <w:gridCol w:w="1254"/>
        <w:gridCol w:w="1261"/>
        <w:gridCol w:w="211"/>
        <w:gridCol w:w="82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Loans Receivable: </w:t>
      </w:r>
      <w:r>
        <w:rPr>
          <w:rFonts w:ascii="Times New Roman;serif" w:hAnsi="Times New Roman;serif"/>
          <w:b w:val="false"/>
          <w:color w:val="000000"/>
          <w:sz w:val="20"/>
        </w:rPr>
        <w:t xml:space="preserve">Loans that the Company has the intent and ability to hold for the foreseeable future are classified as held-for-investment. Loans originated by the Company are carried at amortized cost, net of credit loss allowances as discussed below. Purchased loans are recorded at amortized cost, or unpaid principal balance plus purchase premium or less unamortized discount. Costs to purchase loans are expensed as incurred.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Loans that the Company originates or purchases that the Company is unable to hold, or intends to sell or otherwise dispose of, in the foreseeable future are classified as held-for-sale and are carried at the lower of amortized cost or fair value less estimated costs to sell.</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Mortgage-Backed Securities: </w:t>
      </w:r>
      <w:r>
        <w:rPr>
          <w:rFonts w:ascii="Times New Roman;serif" w:hAnsi="Times New Roman;serif"/>
          <w:b w:val="false"/>
          <w:color w:val="000000"/>
          <w:sz w:val="20"/>
        </w:rPr>
        <w:t xml:space="preserve">Mortgage-backed securities are classified as held-to-maturity or available-for-sale or accounted for under the fair value option. The Company determines the appropriate classification of its securities at the time they are acquired and evaluates the appropriateness of such classifications at each balance sheet's date. Mortgage-backed securities are classified as held-to-maturity when the Company intends to, and has the ability to, hold until maturity. Held-to-maturity securities are stated at amortized cost on the consolidated balance sheets. The Company’s remaining mortgage-backed securities are classified as either available-for-sale or accounted for under the fair value option and are reported at fair value on the consolidated balance sheets as components of Mortgage-backed securities, at fair value. The Company elected the fair value option for all mortgage-backed securities acquired during the three and six months ended June 30, 2026. Changes in fair value for mortgage-backed securities accounted for under the fair value option are recorded in the consolidated statements of operations as a component of Net change in unrealized gain (loss) on mortgage-backed securities, fair value option. The Company chose to elect the fair value option in order to simplify the accounting treatment for its investment securities. The fair value option provides an option to elect fair value as an alternative measurement for selected financial instruments.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irrevocable unless a new election event occurs. Prior to the quarter ended June 30, 2023, all mortgage-backed securities acquired that were not classified as held-to-maturity were classified as available-for-sale, stated at fair value and the changes in fair value are recorded in other comprehensive income. The Company’s held-to-maturity and available-for-sale securities were subject to CECL (defined below), as discussed below.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Current Expected Credit Loss ("CECL") Reserve: </w:t>
      </w:r>
      <w:r>
        <w:rPr>
          <w:rFonts w:ascii="Times New Roman;serif" w:hAnsi="Times New Roman;serif"/>
          <w:b w:val="false"/>
          <w:color w:val="000000"/>
          <w:sz w:val="20"/>
        </w:rPr>
        <w:t>The CECL model applies to the Company's loans receivable, held-for-investment and its mortgage-backed securities held-to-maturity which are carried at amortized cost, including future funding commitments and accrued interest receivable related to those loans and securities. The Company has elected not to measure an allowance for credit losses on accrued interest receivable (which is classified separately on its consolidated balance sheets), but rather write off in a timely manner by reversing interest income and/or cease accruing interest that would likely be uncollectible.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CECL requires an entity to consider historical loss experience, current conditions, and a reasonable and supportable forecast of the macroeconomic environment. Considering the lack of historical company data related to any realized loan losses since its inception, the Company elected to estimate its general CECL reserve by using a probability-weighted analytical model that considers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likelihood of default and loss-given-default for each individual loan. The credit loss model utilizes historical loss rates derived from a third party commercial real estate loan database with historical loan loss data beginning in 1998. The Company provides specific loan-level inputs which include loan-to-value ("LTV"), principal balances, property type, location, coupon, origination year, term, subordination, expected repayment dates and property net operating income. The Company also considers qualitative and environmental factors, including, but not limited to, reasonable and supportable macroeconomic forecasts, business conditions and trends, concentration of credit and changes in the level of such concentrations. The reasonable and supportable forecast period is followed by an immediate reversion period back to historical loss rates.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loans typically include commitments to fund incremental proceeds to its borrowers over the life of the loan, which future funding commitments are also subject to the CECL model. The CECL reserve related to future loan fundings is recorded as a component of Other liabilities on the consolidated balance sheets. This CECL reserve is estimated using the same process outlined above for outstanding loan balances, and changes in this component of the CECL reserve will similarly impact the Company's consolidated net income.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both the funded and unfunded portions of its loans, the Company considers its internal risk rating of each loan as the primary credit quality indicator underlying the assessment. FS Real Estate Advisor and Rialto perform a quarterly review of the Company's portfolio of loans. In connection with this review, FS Real Estate Advisor and Rialto assess the risk factors of each loan and assign a risk rating based on a variety of factors, including, without limitation, LTV ratio, debt yield, property type, geographic and local market dynamics, physical condition, cash flow volatility, leasing and tenant profile, loan structure and exit plan and project sponsorship. Based on a 5-point scale, the Company's loans are rated "1" through "5," from less risk to greater risk, which ratings are defined as follows:</w:t>
      </w:r>
    </w:p>
    <w:tbl>
      <w:tblPr>
        <w:tblW w:w="6326"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1284"/>
        <w:gridCol w:w="1284"/>
        <w:gridCol w:w="1826"/>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Description</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Very Low Risk</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Low Risk</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Medium Risk</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High Risk/Potential for Loss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Impaired/Loss Likely and/or Foreclosure is Probable</w:t>
            </w:r>
          </w:p>
        </w:tc>
      </w:tr>
    </w:tbl>
    <w:p>
      <w:pPr>
        <w:pStyle w:val="TextBody"/>
        <w:bidi w:val="0"/>
        <w:spacing w:lineRule="auto" w:line="288" w:before="120" w:after="120"/>
        <w:ind w:left="0" w:right="0" w:firstLine="450"/>
        <w:jc w:val="left"/>
        <w:rPr/>
      </w:pPr>
      <w:r>
        <w:rPr>
          <w:rFonts w:ascii="Times New Roman;serif" w:hAnsi="Times New Roman;serif"/>
          <w:b w:val="false"/>
          <w:color w:val="000000"/>
          <w:sz w:val="20"/>
          <w:shd w:fill="FFFFFF" w:val="clear"/>
        </w:rPr>
        <w:t>Impairment is indicated when it is deemed probable that the Company will not be able to collect all amounts due to it pursuant to the contractual terms of the loan. If a loan is determined to be impaired, the Company assigns the loan a risk rating of 5 and</w:t>
      </w:r>
      <w:r>
        <w:rPr>
          <w:color w:val="000000"/>
        </w:rPr>
        <w:t xml:space="preserve"> </w:t>
      </w:r>
      <w:r>
        <w:rPr>
          <w:rFonts w:ascii="Times New Roman;serif" w:hAnsi="Times New Roman;serif"/>
          <w:b w:val="false"/>
          <w:color w:val="000000"/>
          <w:sz w:val="20"/>
        </w:rPr>
        <w:t xml:space="preserve">records the impairment as a specific CECL reserve. For determining a specific CECL reserve, financial instruments are assessed outside of the CECL model on an individual basis. For collateral dependent loans that the Company determines foreclosure of the collateral is probable, the Company assigns the loan a risk rating of 5 and measures the expected losses based on the differences between the fair value of the collateral (less estimated costs to sell the asset if repayment is expected through the sale of the collateral) and the amortized cost basis of the loan as of the measurement date. For these loans, the allowance for expected credit losses may be zero if the fair value of the collateral on the measurement date exceeds the amortized cost basis of the loan. For collateral dependent loans where the Company determines foreclosure is not probable, a practical expedient to estimate expected losses may be applied using the difference between the collateral’s fair value (less estimated costs to sell the asset if repayment is expected through the sale of the collateral) and the amortized cost basis of the loan. </w:t>
      </w:r>
      <w:r>
        <w:rPr>
          <w:rFonts w:ascii="Times New Roman;serif" w:hAnsi="Times New Roman;serif"/>
          <w:b w:val="false"/>
          <w:color w:val="000000"/>
          <w:sz w:val="20"/>
          <w:shd w:fill="FFFFFF" w:val="clear"/>
        </w:rPr>
        <w:t xml:space="preserve">These valuations require significant judgments, which include assumptions regarding capitalization rates, leasing, creditworthiness of major tenants, occupancy rates, availability of financing, exit plan, loan sponsorship, actions of other lenders, and other factors deemed necessary by FS Real Estate Advisor and Rialto. Actual losses, if any, could ultimately differ from these estimates.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Separate provisions of the CECL model apply to the Mortgage-backed securities available-for-sale, which are carried at fair value with unrealized gains and losses reported as a component of Accumulated other comprehensive income (loss). The Company is required to establish an initial credit loss allowance for those available-for-sale securities that are purchased with credit deterioration (“PCD”) by grossing up the amortized cost basis of each security and providing an offsetting credit loss allowance for the difference between expected cash flows and contractual cash flows, both on a present value basis.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a discounted cash flow method to estimate and recognize a credit loss allowance on its available-for-sale securities. The credit loss allowance represents the difference between the security's amortized cost basis and the present value of expected cash flows. The credit loss allowance is limited to the difference between the security's fair value and its amortized cost. Changes in the credit loss allowance are recognized immediately in earnings as a component of Credit loss expense, net.</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Real Estate, Held-for-Investment:</w:t>
      </w:r>
      <w:r>
        <w:rPr>
          <w:color w:val="000000"/>
        </w:rPr>
        <w:t xml:space="preserve"> </w:t>
      </w:r>
      <w:r>
        <w:rPr>
          <w:rFonts w:ascii="Times New Roman;serif" w:hAnsi="Times New Roman;serif"/>
          <w:b w:val="false"/>
          <w:color w:val="000000"/>
          <w:sz w:val="20"/>
        </w:rPr>
        <w:t>The Company receives foreclosed properties in settlement of loans held-for-investment by taking legal title or physical possession of the properties. Foreclosed properties are generally recognized at the time the real estate is received at foreclosure sale or upon execution of a deed in lieu of foreclosure. Foreclosed properties are initially measured at fair value. If the fair value of the property is less than the carrying value of the loan, the difference is recognized within Credit loss expense, net on the Company's consolidated statements of operations and the cumulative reserve on the loan is charged off. A gain may be recognized if the fair value of the property exceeds the carrying value of the loan.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the acquisition of a property, the Company assesses the fair value of acquired tangible and intangible assets (including land, buildings, tenant improvements, above-market and below-market leases, acquired in-place leases, other identified intangible assets and assumed liabilities) and allocates the purchase price to the acquired assets and assumed liabilities. The Company assesses and considers fair value based on estimated cash flow projections that utilize discount and/or capitalization rates that it deems appropriate, as well as other available market information. Estimates of future cash flows are based on several factors including the historical operating results, known and anticipated trends and market and economic conditions. The Company capitalizes acquisition-related costs associated with asset acquisitions.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tangible assets of an acquired property considers the value of the property as if it were vacant. The Company records acquired in-place lease values based on the Company’s evaluation of the specific characteristics of each tenant’s lease. The Company will record acquired above-market and below-market leases at their fair values which represents the present value of the difference between contractual rents of acquired leases and market rents at the time of the acquisition for the remaining lease term, discounted for tenant credit risks.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 Based on its acquisitions to date, the Company’s allocation to customer relationship intangible assets has not been material.</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and intangible liabilities are recorded as a component of investment in real estate, held-for-investment on the Company’s consolidated balance sheets. The amortization of acquired above-market, below-market, and in-place leases is recorded as a component of depreciation and amortization, on the Company’s unaudited consolidated statements of operations.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cost of buildings and improvements includes the purchase price of the Company’s properties and any acquisition-related costs, along with any subsequent improvements to such properties. Real estate, held-for-investment properties are generally depreciated on a straight-line basis over the estimated useful lives of the assets as follows:</w:t>
      </w:r>
    </w:p>
    <w:tbl>
      <w:tblPr>
        <w:tblW w:w="6851" w:type="dxa"/>
        <w:jc w:val="center"/>
        <w:tblInd w:w="0" w:type="dxa"/>
        <w:tblLayout w:type="fixed"/>
        <w:tblCellMar>
          <w:top w:w="28" w:type="dxa"/>
          <w:left w:w="28" w:type="dxa"/>
          <w:bottom w:w="28" w:type="dxa"/>
          <w:right w:w="28" w:type="dxa"/>
        </w:tblCellMar>
      </w:tblPr>
      <w:tblGrid>
        <w:gridCol w:w="1027"/>
        <w:gridCol w:w="901"/>
        <w:gridCol w:w="906"/>
        <w:gridCol w:w="109"/>
        <w:gridCol w:w="109"/>
        <w:gridCol w:w="109"/>
        <w:gridCol w:w="1081"/>
        <w:gridCol w:w="1081"/>
        <w:gridCol w:w="1528"/>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Depreciable Life</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to 48 years</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to 10 years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estimated useful life or lease term</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 intangibles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Over lease term </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management reviews its real estate, held-for-investment properties for impairment each quarter or when there is an event or change in circumstances that indicates an impaired value. Since the impairment model considers real estate properties to be “long-lived assets to be held and used,” cash flows to determine whether an asset has been impaired are undiscounted. If the Company determines that an impairment has occurred, the affected assets must be reduced to their fair value. During the periods presented, no such impairment occurred.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Real Estate, Held-for-Sale:</w:t>
      </w:r>
      <w:r>
        <w:rPr>
          <w:color w:val="000000"/>
        </w:rPr>
        <w:t xml:space="preserve"> </w:t>
      </w:r>
      <w:r>
        <w:rPr>
          <w:rFonts w:ascii="Times New Roman;serif" w:hAnsi="Times New Roman;serif"/>
          <w:b w:val="false"/>
          <w:color w:val="000000"/>
          <w:sz w:val="20"/>
        </w:rPr>
        <w:t xml:space="preserve">The Company evaluates its real estate assets, to determine whether such assets should be classified as held-for-sale. Real estate assets are classified as held-for-sale when they meet the criteria under ASC Topic 360, which includes, among other things, that the sale of the asset is probable and the transfer of the asset is expected to qualify for recognition as a completed sale within one year. Once a real estate asset is classified as held-for-sale, depreciation and amortization are suspended and the asset is carried at the lower of the asset’s carrying amount or its fair value less estimated costs to sell.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Fair Value of Financial Instruments:</w:t>
      </w:r>
      <w:r>
        <w:rPr>
          <w:color w:val="000000"/>
        </w:rPr>
        <w:t xml:space="preserve"> </w:t>
      </w:r>
      <w:r>
        <w:rPr>
          <w:rFonts w:ascii="Times New Roman;serif" w:hAnsi="Times New Roman;serif"/>
          <w:b w:val="false"/>
          <w:color w:val="000000"/>
          <w:sz w:val="20"/>
        </w:rPr>
        <w:t>ASC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or ASC Topic 820, defines fair value, establishes a framework for measuring fair value, and requires certain disclosures about fair value measurements under GAAP. Specifically, this guidance defines fair value based on exit price, or the price that would be received upon the sale of an asset or the transfer of a liability in an orderly transaction between market participants at the measurement date.</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ASC Topic 820 also establishes a fair value hierarchy that prioritizes and ranks the level of market price observability used in measuring financial instruments. Market price observability is affected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measured and reported at fair value are classified and disclosed based on the observability of inputs used in the determination, as follows:</w:t>
      </w:r>
    </w:p>
    <w:p>
      <w:pPr>
        <w:pStyle w:val="TextBody"/>
        <w:bidi w:val="0"/>
        <w:spacing w:lineRule="auto" w:line="288" w:before="0" w:after="60"/>
        <w:ind w:left="0" w:right="0" w:hanging="720"/>
        <w:jc w:val="left"/>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Generally includes only unadjusted quoted prices that are available in active markets for identical financial instruments as of the reporting date.</w:t>
      </w:r>
    </w:p>
    <w:p>
      <w:pPr>
        <w:pStyle w:val="TextBody"/>
        <w:bidi w:val="0"/>
        <w:spacing w:lineRule="auto" w:line="288" w:before="0" w:after="60"/>
        <w:ind w:left="0" w:right="0" w:hanging="720"/>
        <w:jc w:val="left"/>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Pricing inputs include quoted prices in active markets for similar instruments, quoted prices in less active or inactive markets for identical or similar instruments where multiple price quotes can be obtained, and other observable inputs, such as interest rates, yield curves, credit risks, and default rates.</w:t>
      </w:r>
    </w:p>
    <w:p>
      <w:pPr>
        <w:pStyle w:val="TextBody"/>
        <w:bidi w:val="0"/>
        <w:spacing w:lineRule="auto" w:line="288" w:before="0" w:after="120"/>
        <w:ind w:left="0" w:right="0" w:hanging="720"/>
        <w:jc w:val="left"/>
        <w:rPr/>
      </w:pPr>
      <w:r>
        <w:rPr>
          <w:rFonts w:ascii="Times New Roman;serif" w:hAnsi="Times New Roman;serif"/>
          <w:b w:val="false"/>
          <w:i/>
          <w:color w:val="000000"/>
          <w:sz w:val="20"/>
        </w:rPr>
        <w:t>Level 3</w:t>
      </w:r>
      <w:r>
        <w:rPr>
          <w:rFonts w:ascii="Times New Roman;serif" w:hAnsi="Times New Roman;serif"/>
          <w:b w:val="false"/>
          <w:color w:val="000000"/>
          <w:sz w:val="20"/>
        </w:rPr>
        <w:t>: Pricing inputs are unobservable for the financial instruments and include situations where there is little, if any, market activity for the financial instrument. These inputs require significant judgment or estimation by management or third parties when determining fair value and generally represent anything that does not meet the criteria of Levels 1 and 2.</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estimated value of each asset reported at fair value using Level 3 inputs is determined by an internal committee comprised of members of senior management of FS Real Estate Advisor.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of the Company's assets are reported at fair value either (i) on a recurring basis, as of each quarter-end, or (ii) on a nonrecurring basis, as a result of impairment or other events. The Company generally values its assets recorded at fair value by either (i) discounting expected cash flows based on assumptions regarding the collection of principal and interest and estimated market rates, or (ii) obtaining assessments from third-party dealers. For collateral-dependent loans that are identified as impaired, the Company measures impairment by comparing FS Real Estate Advisor's estimation of fair value of the underlying collateral (less estimated costs to sell the asset if repayment is expected through the sale of the collateral) to the book value of the respective loan. These valuations may require significant judgments, which include assumptions regarding capitalization rates, leasing, creditworthiness of major tenants, occupancy rates, availability of financing, exit plan, loan sponsorship, actions of other lenders, and other factors deemed necessary by FS Real Estate Advisor and Rialto.</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also required by GAAP to disclose fair value information about financial instruments that are not otherwise reported at fair value in the Company's consolidated balance sheets, to the extent it is practicable to estimate a fair value for those instruments. These disclosure requirements exclude certain financial instruments and all non-financial instruments.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to estimate the fair value of financial instruments, for which it is practicable to estimate that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Cash and cash equivalents: The carrying amount of cash on deposit and in money market funds approximates fair value.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Restricted cash: The carrying amount of restricted cash approximates fair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Loans receivable held-for-investment, net: The fair values for these loans were estimated by FS Real Estate Advisor based on a discounted cash flow methodology taking into consideration factors, including capitalization rates, discount rates, leasing, occupancy rates, availability and cost of financing, exit plan, sponsorship, actions of other lenders, and indications of market value from other market participants.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Mortgage-backed securities, at fair value: The fair values for these investments were based upon prices obtained from third-party pricing providers. The third-party pricing providers develop their pricing based on transaction prices of recent trades for similar financial instruments.</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Mortgage-backed securities held-to-maturity: The fair values for these investments were estimated by FS Real Estate Advisor based on a discounted cash flow methodology pursuant to which a discount rate or market yield is used to discount the estimated future cash flows expected to be received from the underlying investment, which include both future principal and interest payments. Significant increases or decreases in the discount rate or market yield would result in a decrease or increase in the fair value measurement.</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Collateralized loan obligations, repurchase agreements payable, credit facilities payable, and mortgage note payable: The fair values for these instruments were estimated based on the rate at which similar credit facilities would have currently been priced.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Assets of the Consolidated Mortgage Loans and Liabilities of the Consolidated Mortgage Obligations</w:t>
      </w:r>
      <w:r>
        <w:rPr>
          <w:rFonts w:ascii="Times New Roman;serif" w:hAnsi="Times New Roman;serif"/>
          <w:b w:val="false"/>
          <w:color w:val="000000"/>
          <w:sz w:val="20"/>
        </w:rPr>
        <w:t>: The Company separately presents the assets and liabilities of its consolidated securitization loans as individual line items on its consolidated balance sheets. The liabilities of its consolidated securitization loans consist solely of obligations to the bondholders of the related trusts, and are thus presented as a single line item entitled “Mortgage obligations issued by securitization trusts.” The assets of its consolidated securitization loans consist principally of loans. These assets in the aggregate are likewise presented as a single line item entitled “Mortgage loans held in securitization trusts.” The residual difference shown on its unaudited consolidated statements of operations in the line item “Unrealized gain (loss) on mortgage loans and obligations held in securitization trusts” represents the Company's beneficial interest in the mortgage loans. The Company elected the fair value option for initial and subsequent recognition of the assets and liabilities of its consolidated securitization mortgage loans held in securitization trusts and the related commercial mortgage-backed securities ("CMBS") investments. Interest income and interest expense associated with these loans are presented separately on the Company's consolidated statements of operations.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securitization mortgage loan assets as a whole can only be used to settle the obligations of the consolidated mortgage loans. The assets of the Company's securitization mortgage loans are not individually accessible by the bondholders, which creates inherent limitations from a valuation perspective.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securitization mortgage loans in which the Company invests are “static”; that is, no reinvestment is permitted, and there is no active management of the underlying assets. In determining the fair value of the assets and liabilities of the securitization mortgage loans, the Company maximizes the use of observable inputs over unobservable inputs.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consolidated mortgage obligations generally represent bonds that are not owned by the Company directly. The majority of these are either traded in the marketplace or can be analogized to similar securities that are traded in the marketplace. For these liabilities, pricing is considered to be Level 2, where the valuation is based upon quoted prices for similar instruments traded in active markets. The Company generally utilizes third party pricing service providers for valuing these liabilities. In order to determine whether to utilize the valuations provided by third parties, the Company conducts an ongoing evaluation of their valuation methodologies and processes, as well as a review of the individual valuations themselves. In evaluating third party pricing for reasonableness, the Company considers a variety of factors, including market transaction information for the particular bond, market transaction information for bonds within the same trust, market transaction information for similar bonds, the bond’s ratings and the bond’s subordination levels.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minority portion of the Company's consolidated mortgage obligations which consist of unrated or non-investment grade bonds that are not owned by the Company directly, pricing may be either Level 2 or Level 3. If independent third party pricing similar to that noted above is available, the Company considers the valuation to be Level 2. If such third party pricing is not available, the valuation is generated from model-based techniques that use significant unobservable assumptions, and the Company considers the valuation to be Level 3. For mortgage obligations classified as Level 3, valuation is determined based on discounted expected future cash flows which take into consideration expected duration and yields based on market transaction information, ratings, subordination levels, vintage and current market spread. Mortgage obligations may shift between Level 2 and Level 3 of the fair value hierarchy if the significant fair value inputs used to price the mortgage obligations become or cease to be observable.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individual assets of a mortgage loan are inherently incapable of precise measurement given their illiquid nature and the limitations on available information related to these assets. Because the Company's methodology for valuing these assets does not value the individual assets of a mortgage loan, but rather uses the value of the mortgage obligations as an indicator of the fair value of mortgage loan assets as a whole, the Company has determined that its valuations of mortgage loan assets in their entirety should be classified in Level 3 of the fair value hierarchy.</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Deferred Financing Costs: </w:t>
      </w:r>
      <w:r>
        <w:rPr>
          <w:rFonts w:ascii="Times New Roman;serif" w:hAnsi="Times New Roman;serif"/>
          <w:b w:val="false"/>
          <w:color w:val="000000"/>
          <w:sz w:val="20"/>
        </w:rPr>
        <w:t>Deferred financing costs include issuance and other costs related to the Company’s debt obligations. The deferred financing costs related to the Company’s collateralized loan obligations, repurchase agreements, and mortgage note payable are recorded as a reduction in the net book value of the related liability on the Company's consolidated balance sheets. Deferred financing costs related to the Company’s revolving credit facilities and facilities that are undrawn as of the reporting date are recorded as an asset on the Company’s consolidated balance sheets. These costs are amortized as interest expense using the straight-line method over the term of the related obligation, which approximates the effective interest method.</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Revenue Recognition: </w:t>
      </w:r>
      <w:r>
        <w:rPr>
          <w:rFonts w:ascii="Times New Roman;serif" w:hAnsi="Times New Roman;serif"/>
          <w:b w:val="false"/>
          <w:color w:val="000000"/>
          <w:sz w:val="20"/>
        </w:rPr>
        <w:t>Security transactions are accounted for on the trade date. The Company records interest income from its loans receivable portfolio on an accrual basis to the extent that the Company expects to collect such amounts. The Company does not accrue as a receivable interest or dividends on loans and securities if there is reason to doubt the collectability of such income. Discounts or premiums associated with the investment securities are amortized or accreted into interest income as a yield adjustment on the effective interest method, based on expected cash flows through the expected maturity date of the investment. On at least a quarterly basis, the Company reviews and, if appropriate, makes adjustments to its cash flow projections. The Company records dividend income on the ex-dividend date. Any loan origination fees to which the Company is entitled, loan exit fees, original issue discount and market discount are capitalized and such amounts are amortized as interest income over the respective term of the investment. Upon the prepayment of a loan or security, any unamortized loan origination fees to which the Company is entitled are recorded as fee income. The Company records prepayment premiums on loans and securities as fee income when it receives such amounts.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Loans are considered past due when payments are not made in accordance with the contractual terms. The Company does not accrue interest on loans if it is not probable that payments of such interest will be collected. Unless the loan is both well secured and in the process of collection, loans are placed on non-accrual status when principal or interest is 120 days or more past due or when repayment of interest and principal is, in our judgment, in doubt. Interest receivable deemed uncollectible will be immediately written off by reversing the related interest income. Interest payments received on non-accrual loans are generally recognized as interest income on a cash basis. If a full recovery of principal is doubtful, the cost recovery method is applied whereby any cash received is applied to the outstanding principal balance of the loan. Recognition of interest income on non-performing loans on an accrual basis is resumed when it is probable that the Company will be able to collect amounts due according to the contractual terms. Refer to Note 3 and Note 4 of this document for our disclosure of any investments placed on non-accrual. As of June 30, 2026 and December 31, 2025, the amortized cost of loans on non-accrual status was $322,652 and $219,481, respectively.</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Offering Costs: </w:t>
      </w:r>
      <w:r>
        <w:rPr>
          <w:rFonts w:ascii="Times New Roman;serif" w:hAnsi="Times New Roman;serif"/>
          <w:b w:val="false"/>
          <w:color w:val="000000"/>
          <w:sz w:val="20"/>
        </w:rPr>
        <w:t>Offering costs primarily include, among other things, marketing expenses and printing, legal and due diligence fees and other costs pertaining to the Company’s continuous public offering of shares of its common stock, including the preparation of the registration statement and salaries and direct expenses of FS Real Estate Advisor’s personnel, employees of its respective affiliates and others while engaged in such activities. The Company may reimburse FS Real Estate Advisor and Rialto for any offering expenses that they incurred on the Company's behalf, up to a cap of 0.75% of gross proceeds raised after such time. During the period from November 7, 2016 (Inception) to June 30, 2026, the Company incurred offering costs of $30,879, which were paid on its behalf by Future Standard (see Note 7).</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Income Taxes: </w:t>
      </w:r>
      <w:r>
        <w:rPr>
          <w:rFonts w:ascii="Times New Roman;serif" w:hAnsi="Times New Roman;serif"/>
          <w:b w:val="false"/>
          <w:color w:val="000000"/>
          <w:sz w:val="20"/>
        </w:rPr>
        <w:t>The Company elected to be taxed as a REIT under the Internal Revenue Code of 1986, as amended, or the Code, commencing with its taxable year ended December 31, 2017. In order to maintain its status as a REIT, the Company must meet certain organizational and operational requirements, including a requirement to distribute at least 90% of its annual REIT taxable income to its stockholders. As a REIT, the Company generally will not be subject to federal income tax on income that it distributes to stockholders. If the Company fails to qualify as a REIT in any taxable year, it will be subject to federal income tax on its taxable income at regular corporate income tax rates and generally will not be permitted to qualify for treatment as a REIT for federal income tax purposes for the four taxable years following the year during which qualification is lost unless the Internal Revenue Service grants the Company relief under certain statutory provisions.</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Uncertainty in Income Taxes</w:t>
      </w:r>
      <w:r>
        <w:rPr>
          <w:rFonts w:ascii="Times New Roman;serif" w:hAnsi="Times New Roman;serif"/>
          <w:b w:val="false"/>
          <w:color w:val="000000"/>
          <w:sz w:val="20"/>
        </w:rPr>
        <w:t>: The Company evaluates each of its tax positions to determine if they meet the minimum recognition threshold in connection with accounting for uncertainties in income tax positions taken or expected to be taken for the purposes of measuring and recognizing tax benefits or liabilities in the unaudited consolidated financial statements. Recognition of a tax benefit or liability with respect to an uncertain tax position is required only when the position is “more likely than not” to be sustained assuming examination by taxing authorities. The Company recognizes interest and penalties, if any, related to unrecognized tax liabilities as income tax expense in the unaudited consolidated statements of operations. During the six months ended June 30, 2026 and 2025, the Company did not incur any interest or penalties and none were accrued at June 30, 2026.</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Stockholder Servicing Fees:</w:t>
      </w:r>
      <w:r>
        <w:rPr>
          <w:color w:val="000000"/>
        </w:rPr>
        <w:t xml:space="preserve"> </w:t>
      </w:r>
      <w:r>
        <w:rPr>
          <w:rFonts w:ascii="Times New Roman;serif" w:hAnsi="Times New Roman;serif"/>
          <w:b w:val="false"/>
          <w:color w:val="000000"/>
          <w:sz w:val="20"/>
        </w:rPr>
        <w:t xml:space="preserve">The Company follows the guidance in ASC 405, </w:t>
      </w:r>
      <w:r>
        <w:rPr>
          <w:rFonts w:ascii="Times New Roman;serif" w:hAnsi="Times New Roman;serif"/>
          <w:b w:val="false"/>
          <w:i/>
          <w:color w:val="000000"/>
          <w:sz w:val="20"/>
        </w:rPr>
        <w:t>Liabilities</w:t>
      </w:r>
      <w:r>
        <w:rPr>
          <w:rFonts w:ascii="Times New Roman;serif" w:hAnsi="Times New Roman;serif"/>
          <w:b w:val="false"/>
          <w:color w:val="000000"/>
          <w:sz w:val="20"/>
        </w:rPr>
        <w:t>, when accounting for stockholder servicing fees. The Company will pay stockholder servicing fees over time on its shares of Class T, Class S, Class D and Class M common stock as described in Note 7. The Company records stockholder servicing fees as a reduction to additional paid-in capital and records the related liability in an amount equal to its best estimate of the fees payable in relation to the shares of Class T, Class S, Class D and Class M common stock on the date such shares are issued. The liability will be reduced over time, as the fees are paid to the dealer manager, or adjusted if the fees are no longer payable.</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 (continued)</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 xml:space="preserve">The restricted stock units grant Class I shares issued to FS Real Estate Advisor and Rialto for payment of the administrative services fee are considered to be participating securities. The impact of these restricted stock units on basic and diluted earnings per common share ("EPS") has been calculated using the two-class method whereby earnings are allocated to the restricted stock units based on dividends declared and the restricted stock units' participation rights in undistributed earnings. </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Derivative Instruments</w:t>
      </w:r>
      <w:r>
        <w:rPr>
          <w:rFonts w:ascii="Times New Roman;serif" w:hAnsi="Times New Roman;serif"/>
          <w:b w:val="false"/>
          <w:color w:val="000000"/>
          <w:sz w:val="20"/>
        </w:rPr>
        <w:t>: The Company uses interest rate caps to manage risks from fluctuations in interest rates. The Company has not designated any of these contracts as fair value or cash flow hedges for accounting purposes. The Company records its derivatives on its consolidated balance sheets at fair value and such amounts are included in Other assets. Any changes in the fair value of these derivatives are recorded in earnings.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valuation of the Company's interest rate caps are determined based on assumptions that management believes market participants would use in pricing, using widely accepted valuation techniques including discounted cash flow analysis on the expected cash flows of the derivative. This analysis reflects the contractual terms of the derivative, including the period to maturity, and uses observable market-based inputs, including interest rate curves and implied volatilities. Although the Company has determined that the majority of the inputs used to value its derivatives fall within Level 2 of the fair value hierarchy, the credit valuation adjustments associated with those derivatives utilize Level 3 inputs, such as estimates of current credit spreads, to evaluate the likelihood of default by the Company and its counterparties. However, as of June 30, 2026, the Company assessed the significance of the impact of the credit valuation adjustments on the overall valuation of its derivative positions and determined that the credit valuation adjustments are not significant to the overall valuation of the Company’s derivatives. As a result, the Company has determined that its derivative valuations in their entirety are classified in Level 2 of the fair value hierarchy.</w:t>
      </w:r>
    </w:p>
    <w:p>
      <w:pPr>
        <w:pStyle w:val="TextBody"/>
        <w:bidi w:val="0"/>
        <w:spacing w:lineRule="auto" w:line="288" w:before="120" w:after="120"/>
        <w:ind w:left="0" w:right="0" w:firstLine="450"/>
        <w:jc w:val="left"/>
        <w:rPr/>
      </w:pPr>
      <w:r>
        <w:rPr>
          <w:rFonts w:ascii="Times New Roman;serif" w:hAnsi="Times New Roman;serif"/>
          <w:b w:val="false"/>
          <w:i/>
          <w:color w:val="000000"/>
          <w:sz w:val="20"/>
        </w:rPr>
        <w:t>Recent Accounting Pronouncements:</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or ASU 2024-03,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2028. Early adoption and retrospective application is permitted. The Company is currently assessing the impact of this guidance, however, the Company does not expect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3. Loans Receivable, net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overall statistics for the Company's loans receivable portfolio as of June 30, 2026 and December 31, 2025:</w:t>
      </w:r>
    </w:p>
    <w:tbl>
      <w:tblPr>
        <w:tblW w:w="9115" w:type="dxa"/>
        <w:jc w:val="center"/>
        <w:tblInd w:w="0" w:type="dxa"/>
        <w:tblLayout w:type="fixed"/>
        <w:tblCellMar>
          <w:top w:w="28" w:type="dxa"/>
          <w:left w:w="28" w:type="dxa"/>
          <w:bottom w:w="28" w:type="dxa"/>
          <w:right w:w="28" w:type="dxa"/>
        </w:tblCellMar>
      </w:tblPr>
      <w:tblGrid>
        <w:gridCol w:w="1427"/>
        <w:gridCol w:w="1257"/>
        <w:gridCol w:w="1261"/>
        <w:gridCol w:w="109"/>
        <w:gridCol w:w="109"/>
        <w:gridCol w:w="109"/>
        <w:gridCol w:w="376"/>
        <w:gridCol w:w="1740"/>
        <w:gridCol w:w="194"/>
        <w:gridCol w:w="109"/>
        <w:gridCol w:w="109"/>
        <w:gridCol w:w="109"/>
        <w:gridCol w:w="109"/>
        <w:gridCol w:w="109"/>
        <w:gridCol w:w="281"/>
        <w:gridCol w:w="1299"/>
        <w:gridCol w:w="145"/>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8,491,260 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7,845,350 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Unfunded loan commitments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cash coupon</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all-in yield</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maximum maturity (years)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The Company may be required to provide funding when requested by the borrowers in accordance with the terms of the underlying agreements.</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The Company's floating rate loans are expressed as a spread over the relevant benchmark rates, which include Secured Overnight Financing Rate, or SOFR. In addition to cash coupon, all-in yield includes accretion of discount (amortization of premium) and accrual of exit fees. For loans placed on non-accrual, the interest rate used in calculating weighted-average cash coupon and weighted-average all-in yield is 0%.</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As of June 30, 2026 and December 31, 2025, the one-month SOFR rate was 3.65% and 3.69%, respectively.</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Maximum maturity assumes all extension options are exercised by the borrowers, however, loans may be repaid prior to such date.</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p>
      <w:pPr>
        <w:pStyle w:val="TextBody"/>
        <w:bidi w:val="0"/>
        <w:spacing w:before="120" w:after="283"/>
        <w:ind w:left="0" w:right="0" w:firstLine="45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activity in the Company's loan portfolio was as follows:</w:t>
      </w:r>
    </w:p>
    <w:tbl>
      <w:tblPr>
        <w:tblW w:w="9729" w:type="dxa"/>
        <w:jc w:val="center"/>
        <w:tblInd w:w="0" w:type="dxa"/>
        <w:tblLayout w:type="fixed"/>
        <w:tblCellMar>
          <w:top w:w="28" w:type="dxa"/>
          <w:left w:w="28" w:type="dxa"/>
          <w:bottom w:w="28" w:type="dxa"/>
          <w:right w:w="28" w:type="dxa"/>
        </w:tblCellMar>
      </w:tblPr>
      <w:tblGrid>
        <w:gridCol w:w="1581"/>
        <w:gridCol w:w="1390"/>
        <w:gridCol w:w="1394"/>
        <w:gridCol w:w="109"/>
        <w:gridCol w:w="109"/>
        <w:gridCol w:w="109"/>
        <w:gridCol w:w="371"/>
        <w:gridCol w:w="1716"/>
        <w:gridCol w:w="191"/>
        <w:gridCol w:w="191"/>
        <w:gridCol w:w="191"/>
        <w:gridCol w:w="191"/>
        <w:gridCol w:w="191"/>
        <w:gridCol w:w="109"/>
        <w:gridCol w:w="109"/>
        <w:gridCol w:w="211"/>
        <w:gridCol w:w="976"/>
        <w:gridCol w:w="109"/>
        <w:gridCol w:w="109"/>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1995" w:type="dxa"/>
            <w:gridSpan w:val="9"/>
            <w:tcBorders/>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fundings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repayments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(1,252,866)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fees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and extension fees received on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CECL 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60" w:after="12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Inclusive of $40,676 of amortized cost for a loan modification accounted for as a new loan for GAAP purposes. Effective on March 27, 2026, a new collateral secured loan with a new borrower with a risk rating of 3 was entered into from a previously owned risk rated 3 senior loan with a principal balance of $40,680. As a part of the new agreement, the new borrower agreed to pay the Company an amount equal to $180.</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property type and geographic location of the properties securing the loans in the Company's loans receivable, held-for-investment portfolio as of June 30, 2026 and December 31, 2025:</w:t>
      </w:r>
    </w:p>
    <w:tbl>
      <w:tblPr>
        <w:tblW w:w="8273" w:type="dxa"/>
        <w:jc w:val="center"/>
        <w:tblInd w:w="0" w:type="dxa"/>
        <w:tblLayout w:type="fixed"/>
        <w:tblCellMar>
          <w:top w:w="28" w:type="dxa"/>
          <w:left w:w="28" w:type="dxa"/>
          <w:bottom w:w="28" w:type="dxa"/>
          <w:right w:w="28" w:type="dxa"/>
        </w:tblCellMar>
      </w:tblPr>
      <w:tblGrid>
        <w:gridCol w:w="695"/>
        <w:gridCol w:w="611"/>
        <w:gridCol w:w="614"/>
        <w:gridCol w:w="109"/>
        <w:gridCol w:w="109"/>
        <w:gridCol w:w="109"/>
        <w:gridCol w:w="231"/>
        <w:gridCol w:w="1074"/>
        <w:gridCol w:w="119"/>
        <w:gridCol w:w="119"/>
        <w:gridCol w:w="119"/>
        <w:gridCol w:w="119"/>
        <w:gridCol w:w="234"/>
        <w:gridCol w:w="234"/>
        <w:gridCol w:w="583"/>
        <w:gridCol w:w="109"/>
        <w:gridCol w:w="109"/>
        <w:gridCol w:w="109"/>
        <w:gridCol w:w="232"/>
        <w:gridCol w:w="1073"/>
        <w:gridCol w:w="119"/>
        <w:gridCol w:w="109"/>
        <w:gridCol w:w="109"/>
        <w:gridCol w:w="109"/>
        <w:gridCol w:w="233"/>
        <w:gridCol w:w="233"/>
        <w:gridCol w:w="65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4,250,284 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54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tbl>
      <w:tblPr>
        <w:tblW w:w="8452" w:type="dxa"/>
        <w:jc w:val="left"/>
        <w:tblInd w:w="0" w:type="dxa"/>
        <w:tblLayout w:type="fixed"/>
        <w:tblCellMar>
          <w:top w:w="28" w:type="dxa"/>
          <w:left w:w="28" w:type="dxa"/>
          <w:bottom w:w="28" w:type="dxa"/>
          <w:right w:w="28" w:type="dxa"/>
        </w:tblCellMar>
      </w:tblPr>
      <w:tblGrid>
        <w:gridCol w:w="761"/>
        <w:gridCol w:w="667"/>
        <w:gridCol w:w="671"/>
        <w:gridCol w:w="109"/>
        <w:gridCol w:w="109"/>
        <w:gridCol w:w="109"/>
        <w:gridCol w:w="231"/>
        <w:gridCol w:w="1074"/>
        <w:gridCol w:w="119"/>
        <w:gridCol w:w="119"/>
        <w:gridCol w:w="119"/>
        <w:gridCol w:w="119"/>
        <w:gridCol w:w="234"/>
        <w:gridCol w:w="234"/>
        <w:gridCol w:w="583"/>
        <w:gridCol w:w="109"/>
        <w:gridCol w:w="109"/>
        <w:gridCol w:w="109"/>
        <w:gridCol w:w="232"/>
        <w:gridCol w:w="1073"/>
        <w:gridCol w:w="119"/>
        <w:gridCol w:w="109"/>
        <w:gridCol w:w="109"/>
        <w:gridCol w:w="109"/>
        <w:gridCol w:w="233"/>
        <w:gridCol w:w="233"/>
        <w:gridCol w:w="650"/>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Geographic Location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1,797,634 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1,443,603 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60" w:after="12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As defined by the United States Department of Commerce, Bureau of the Census.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Loan Risk Rating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further described in Note 2, FS Real Estate Advisor and Rialto assess the risk factors of each loan and assign a risk rating based on a variety of factors, including, without limitation, LTV ratio, debt yield, property type, geographic and local market dynamics, physical condition, cash flow volatility, leasing and tenant profile, loan structure and exit plan and project sponsorship. Based on a 5-point scale, the Company's loans are rated "1" through "5", from less risk to greater risk, which ratings are defined in Note 2.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allocates the net book value of the Company's loans receivable, held-for-investment portfolio based on the Company's internal risk ratings:</w:t>
      </w:r>
    </w:p>
    <w:tbl>
      <w:tblPr>
        <w:tblW w:w="10205" w:type="dxa"/>
        <w:jc w:val="left"/>
        <w:tblInd w:w="0" w:type="dxa"/>
        <w:tblLayout w:type="fixed"/>
        <w:tblCellMar>
          <w:top w:w="28" w:type="dxa"/>
          <w:left w:w="28" w:type="dxa"/>
          <w:bottom w:w="28" w:type="dxa"/>
          <w:right w:w="28" w:type="dxa"/>
        </w:tblCellMar>
      </w:tblPr>
      <w:tblGrid>
        <w:gridCol w:w="603"/>
        <w:gridCol w:w="489"/>
        <w:gridCol w:w="398"/>
        <w:gridCol w:w="109"/>
        <w:gridCol w:w="109"/>
        <w:gridCol w:w="109"/>
        <w:gridCol w:w="322"/>
        <w:gridCol w:w="322"/>
        <w:gridCol w:w="323"/>
        <w:gridCol w:w="109"/>
        <w:gridCol w:w="109"/>
        <w:gridCol w:w="109"/>
        <w:gridCol w:w="215"/>
        <w:gridCol w:w="997"/>
        <w:gridCol w:w="111"/>
        <w:gridCol w:w="109"/>
        <w:gridCol w:w="109"/>
        <w:gridCol w:w="109"/>
        <w:gridCol w:w="234"/>
        <w:gridCol w:w="234"/>
        <w:gridCol w:w="583"/>
        <w:gridCol w:w="109"/>
        <w:gridCol w:w="109"/>
        <w:gridCol w:w="109"/>
        <w:gridCol w:w="322"/>
        <w:gridCol w:w="322"/>
        <w:gridCol w:w="323"/>
        <w:gridCol w:w="109"/>
        <w:gridCol w:w="109"/>
        <w:gridCol w:w="109"/>
        <w:gridCol w:w="215"/>
        <w:gridCol w:w="997"/>
        <w:gridCol w:w="111"/>
        <w:gridCol w:w="109"/>
        <w:gridCol w:w="109"/>
        <w:gridCol w:w="109"/>
        <w:gridCol w:w="233"/>
        <w:gridCol w:w="233"/>
        <w:gridCol w:w="656"/>
      </w:tblGrid>
      <w:tr>
        <w:trPr/>
        <w:tc>
          <w:tcPr>
            <w:tcW w:w="60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7,338,492 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7,229,226 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primary credit quality indicator is its risk ratings, which are further discussed in Note 2. The following tables present the net book value of its loans receivable, held-for-investment portfolio as of June 30, 2026 and December 31, 2025, respectively, by year of origination and risk rating:</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tbl>
      <w:tblPr>
        <w:tblW w:w="12112" w:type="dxa"/>
        <w:jc w:val="left"/>
        <w:tblInd w:w="0" w:type="dxa"/>
        <w:tblLayout w:type="fixed"/>
        <w:tblCellMar>
          <w:top w:w="28" w:type="dxa"/>
          <w:left w:w="28" w:type="dxa"/>
          <w:bottom w:w="28" w:type="dxa"/>
          <w:right w:w="28" w:type="dxa"/>
        </w:tblCellMar>
      </w:tblPr>
      <w:tblGrid>
        <w:gridCol w:w="446"/>
        <w:gridCol w:w="339"/>
        <w:gridCol w:w="221"/>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9" w:type="dxa"/>
            <w:gridSpan w:val="3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Net Book Value of Loans Receivable by Year of Origination </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June 30, 2026 (Unaudited)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9" w:type="dxa"/>
            <w:gridSpan w:val="39"/>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62" w:type="dxa"/>
        <w:jc w:val="left"/>
        <w:tblInd w:w="0" w:type="dxa"/>
        <w:tblLayout w:type="fixed"/>
        <w:tblCellMar>
          <w:top w:w="28" w:type="dxa"/>
          <w:left w:w="28" w:type="dxa"/>
          <w:bottom w:w="28" w:type="dxa"/>
          <w:right w:w="28" w:type="dxa"/>
        </w:tblCellMar>
      </w:tblPr>
      <w:tblGrid>
        <w:gridCol w:w="446"/>
        <w:gridCol w:w="339"/>
        <w:gridCol w:w="221"/>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9" w:type="dxa"/>
            <w:gridSpan w:val="3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Book Value of Loans Receivable by Year of Origination </w:t>
              <w:br/>
              <w:t>December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9" w:type="dxa"/>
            <w:gridSpan w:val="39"/>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Current Expected Credit Loss Reserve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CECL reserve required under GAAP reflects the Company's current estimate of potential credit losses related to the loans included in its consolidated balance sheets. The general CECL reserve is measured on a collective basis wherever similar risk characteristics exist within a pool of similar assets. The Company has identified senior loans and mezzanine loans as pools within its loans receivable portfolio. Refer to Note 2 for further discussion of the Company's CECL reserve.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on the changes in CECL reserve for funded loans by investment pool for the three and six months ended June 30, 2026 and 2025, recorded in loans receivable, held-for-investment on the consolidated balance sheets:</w:t>
      </w:r>
    </w:p>
    <w:tbl>
      <w:tblPr>
        <w:tblW w:w="8546" w:type="dxa"/>
        <w:jc w:val="left"/>
        <w:tblInd w:w="0" w:type="dxa"/>
        <w:tblLayout w:type="fixed"/>
        <w:tblCellMar>
          <w:top w:w="28" w:type="dxa"/>
          <w:left w:w="28" w:type="dxa"/>
          <w:bottom w:w="28" w:type="dxa"/>
          <w:right w:w="28" w:type="dxa"/>
        </w:tblCellMar>
      </w:tblPr>
      <w:tblGrid>
        <w:gridCol w:w="1324"/>
        <w:gridCol w:w="1166"/>
        <w:gridCol w:w="1169"/>
        <w:gridCol w:w="109"/>
        <w:gridCol w:w="109"/>
        <w:gridCol w:w="109"/>
        <w:gridCol w:w="249"/>
        <w:gridCol w:w="853"/>
        <w:gridCol w:w="128"/>
        <w:gridCol w:w="109"/>
        <w:gridCol w:w="109"/>
        <w:gridCol w:w="109"/>
        <w:gridCol w:w="322"/>
        <w:gridCol w:w="1102"/>
        <w:gridCol w:w="166"/>
        <w:gridCol w:w="109"/>
        <w:gridCol w:w="109"/>
        <w:gridCol w:w="109"/>
        <w:gridCol w:w="211"/>
        <w:gridCol w:w="72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Company's specific CECL reserve balance was $0 and $0, respectively.</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risk rated 5 loans as of June 30, 2026, which were analyzed for specific CECL reserves:</w:t>
      </w:r>
    </w:p>
    <w:tbl>
      <w:tblPr>
        <w:tblW w:w="10205" w:type="dxa"/>
        <w:jc w:val="left"/>
        <w:tblInd w:w="0" w:type="dxa"/>
        <w:tblLayout w:type="fixed"/>
        <w:tblCellMar>
          <w:top w:w="28" w:type="dxa"/>
          <w:left w:w="28" w:type="dxa"/>
          <w:bottom w:w="28" w:type="dxa"/>
          <w:right w:w="28" w:type="dxa"/>
        </w:tblCellMar>
      </w:tblPr>
      <w:tblGrid>
        <w:gridCol w:w="313"/>
        <w:gridCol w:w="225"/>
        <w:gridCol w:w="227"/>
        <w:gridCol w:w="109"/>
        <w:gridCol w:w="109"/>
        <w:gridCol w:w="109"/>
        <w:gridCol w:w="407"/>
        <w:gridCol w:w="407"/>
        <w:gridCol w:w="408"/>
        <w:gridCol w:w="109"/>
        <w:gridCol w:w="109"/>
        <w:gridCol w:w="109"/>
        <w:gridCol w:w="531"/>
        <w:gridCol w:w="407"/>
        <w:gridCol w:w="373"/>
        <w:gridCol w:w="109"/>
        <w:gridCol w:w="109"/>
        <w:gridCol w:w="109"/>
        <w:gridCol w:w="449"/>
        <w:gridCol w:w="379"/>
        <w:gridCol w:w="332"/>
        <w:gridCol w:w="109"/>
        <w:gridCol w:w="109"/>
        <w:gridCol w:w="109"/>
        <w:gridCol w:w="231"/>
        <w:gridCol w:w="789"/>
        <w:gridCol w:w="119"/>
        <w:gridCol w:w="109"/>
        <w:gridCol w:w="109"/>
        <w:gridCol w:w="109"/>
        <w:gridCol w:w="370"/>
        <w:gridCol w:w="370"/>
        <w:gridCol w:w="371"/>
        <w:gridCol w:w="109"/>
        <w:gridCol w:w="109"/>
        <w:gridCol w:w="109"/>
        <w:gridCol w:w="446"/>
        <w:gridCol w:w="446"/>
        <w:gridCol w:w="643"/>
      </w:tblGrid>
      <w:tr>
        <w:trPr/>
        <w:tc>
          <w:tcPr>
            <w:tcW w:w="3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Specific CECL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Non-accrual Status</w:t>
            </w:r>
          </w:p>
        </w:tc>
      </w:tr>
      <w:tr>
        <w:trPr/>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September 2024</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Gaithersburg,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January 2025</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January 2026</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May 2025</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Sandy Springs,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Roswell,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basis - June 2026</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risk rated 5 loans were determined to be collateral dependent as of June 30, 2026. Loans are assigned a risk rating of 5 when an impairment or a loss is likely and/or foreclosure is probable. The allowance for expected credit losses for loans when foreclosure is probable may be zero if the fair value of the collateral on the measurement date exceeds the amortized cost basis of the loan. The Company estimated expected losses based on the fair value of the collateral of the loan, which was determined by applying a capitalization rate between 5.50% and 9.25%, and a discount rate between 7.50% and 10.50%. </w:t>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aging analysis for the Company's portfolio of loans held-for-investment on amortized cost basis:</w:t>
      </w:r>
    </w:p>
    <w:tbl>
      <w:tblPr>
        <w:tblW w:w="10205" w:type="dxa"/>
        <w:jc w:val="left"/>
        <w:tblInd w:w="0" w:type="dxa"/>
        <w:tblLayout w:type="fixed"/>
        <w:tblCellMar>
          <w:top w:w="28" w:type="dxa"/>
          <w:left w:w="28" w:type="dxa"/>
          <w:bottom w:w="28" w:type="dxa"/>
          <w:right w:w="28" w:type="dxa"/>
        </w:tblCellMar>
      </w:tblPr>
      <w:tblGrid>
        <w:gridCol w:w="557"/>
        <w:gridCol w:w="351"/>
        <w:gridCol w:w="281"/>
        <w:gridCol w:w="109"/>
        <w:gridCol w:w="109"/>
        <w:gridCol w:w="109"/>
        <w:gridCol w:w="308"/>
        <w:gridCol w:w="1426"/>
        <w:gridCol w:w="159"/>
        <w:gridCol w:w="109"/>
        <w:gridCol w:w="109"/>
        <w:gridCol w:w="109"/>
        <w:gridCol w:w="246"/>
        <w:gridCol w:w="963"/>
        <w:gridCol w:w="127"/>
        <w:gridCol w:w="109"/>
        <w:gridCol w:w="109"/>
        <w:gridCol w:w="109"/>
        <w:gridCol w:w="246"/>
        <w:gridCol w:w="963"/>
        <w:gridCol w:w="127"/>
        <w:gridCol w:w="109"/>
        <w:gridCol w:w="109"/>
        <w:gridCol w:w="109"/>
        <w:gridCol w:w="270"/>
        <w:gridCol w:w="1060"/>
        <w:gridCol w:w="139"/>
        <w:gridCol w:w="109"/>
        <w:gridCol w:w="109"/>
        <w:gridCol w:w="109"/>
        <w:gridCol w:w="211"/>
        <w:gridCol w:w="976"/>
        <w:gridCol w:w="160"/>
      </w:tblGrid>
      <w:tr>
        <w:trPr/>
        <w:tc>
          <w:tcPr>
            <w:tcW w:w="55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or Less Than 30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Days or More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June 30, 2026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7,470,467 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8,485,341 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December 31, 2025</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7,344,683 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437,091 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7,836,214 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w:t>
      </w:r>
    </w:p>
    <w:p>
      <w:pPr>
        <w:pStyle w:val="TextBody"/>
        <w:bidi w:val="0"/>
        <w:spacing w:lineRule="auto" w:line="288" w:before="12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As of June 30, 2026, the total amortized cost basis for loans with interest income payments of 90 days or more past due that were not placed on non-accrual status was $189,223.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As of December 31, 2025, the total amortized cost basis for loans with interest income payments of 90 days or more past due that were not placed on non-accrual status was $308,392.</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Current Expected Credit Loss Reserve for Unfunded Loan Commitments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unfunded commitments of $379,938. The expected credit losses over the contractual period of its loans are subject to the obligation to extend credit through its unfunded loan commitments. See Note 2 for further discussion of the CECL reserve related to the Company's unfunded loan commitments. </w:t>
      </w:r>
    </w:p>
    <w:p>
      <w:pPr>
        <w:pStyle w:val="TextBody"/>
        <w:bidi w:val="0"/>
        <w:spacing w:lineRule="auto" w:line="25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on the changes in CECL reserve for unfunded loan commitments by investment pool for the three and six months ended June 30, 2026 and 2025, recorded in other liabilities on the Company's consolidated balance sheets:</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Loans Receivable, net (continued)</w:t>
      </w:r>
    </w:p>
    <w:tbl>
      <w:tblPr>
        <w:tblW w:w="8566" w:type="dxa"/>
        <w:jc w:val="left"/>
        <w:tblInd w:w="0" w:type="dxa"/>
        <w:tblLayout w:type="fixed"/>
        <w:tblCellMar>
          <w:top w:w="28" w:type="dxa"/>
          <w:left w:w="28" w:type="dxa"/>
          <w:bottom w:w="28" w:type="dxa"/>
          <w:right w:w="28" w:type="dxa"/>
        </w:tblCellMar>
      </w:tblPr>
      <w:tblGrid>
        <w:gridCol w:w="1335"/>
        <w:gridCol w:w="1176"/>
        <w:gridCol w:w="1179"/>
        <w:gridCol w:w="109"/>
        <w:gridCol w:w="109"/>
        <w:gridCol w:w="109"/>
        <w:gridCol w:w="277"/>
        <w:gridCol w:w="811"/>
        <w:gridCol w:w="142"/>
        <w:gridCol w:w="115"/>
        <w:gridCol w:w="115"/>
        <w:gridCol w:w="115"/>
        <w:gridCol w:w="461"/>
        <w:gridCol w:w="888"/>
        <w:gridCol w:w="241"/>
        <w:gridCol w:w="115"/>
        <w:gridCol w:w="115"/>
        <w:gridCol w:w="115"/>
        <w:gridCol w:w="223"/>
        <w:gridCol w:w="653"/>
        <w:gridCol w:w="163"/>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 Commitments CECL Reserve</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Loans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Loans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general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Mortgage Backed Securities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Mortgage-Backed Securities, at Fair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 or CMBS, classified as available-for-sale are reported at fair value on the consolidated balance sheets with changes in fair value recorded in other comprehensive income. CMBS accounted for under the fair value option are reported at fair value on the consolidated balance sheets with changes in fair value recorded in the consolidated statements of operations as a component of Net change in unrealized gain (loss) on mortgage-backed securities, fair value option.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various attributes of the Company's investments in CMBS reported at fair value as of June 30, 2026 and December 31, 2025, respectively:</w:t>
      </w:r>
    </w:p>
    <w:tbl>
      <w:tblPr>
        <w:tblW w:w="11580"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466"/>
        <w:gridCol w:w="109"/>
        <w:gridCol w:w="109"/>
        <w:gridCol w:w="109"/>
        <w:gridCol w:w="109"/>
        <w:gridCol w:w="211"/>
        <w:gridCol w:w="631"/>
        <w:gridCol w:w="109"/>
        <w:gridCol w:w="109"/>
        <w:gridCol w:w="109"/>
        <w:gridCol w:w="109"/>
        <w:gridCol w:w="211"/>
        <w:gridCol w:w="826"/>
        <w:gridCol w:w="109"/>
        <w:gridCol w:w="109"/>
        <w:gridCol w:w="109"/>
        <w:gridCol w:w="109"/>
        <w:gridCol w:w="255"/>
        <w:gridCol w:w="255"/>
        <w:gridCol w:w="256"/>
        <w:gridCol w:w="109"/>
        <w:gridCol w:w="109"/>
        <w:gridCol w:w="109"/>
        <w:gridCol w:w="268"/>
        <w:gridCol w:w="268"/>
        <w:gridCol w:w="38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Face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(years)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9.35%</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5.63%</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9.26%</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fair value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6.10%</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bl>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    Calculated using the one-month SOFR rate of 3.65% as of June 30, 2026.</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    Calculated using the one-month SOFR rate of 3.69% as of December 31, 2025.</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two CMBS, classified as available-for-sale on non-accrual status with a total amortized cost of $24,763 and $24,953, respectively. All future interest collections will be accounted for under the cost recovery method.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a discounted cash flow method to estimate and recognize an allowance for its available-for sale securities. The following table provides details on the changes in allowance for credit losses for available-for sale securities for the six months ended June 30, 2026:</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Mortgage Backed Securities (continued)</w:t>
      </w:r>
    </w:p>
    <w:p>
      <w:pPr>
        <w:pStyle w:val="TextBody"/>
        <w:bidi w:val="0"/>
        <w:spacing w:before="0" w:after="0"/>
        <w:jc w:val="left"/>
        <w:rPr/>
      </w:pPr>
      <w:r>
        <w:rPr/>
      </w:r>
    </w:p>
    <w:tbl>
      <w:tblPr>
        <w:tblW w:w="9461" w:type="dxa"/>
        <w:jc w:val="left"/>
        <w:tblInd w:w="0" w:type="dxa"/>
        <w:tblLayout w:type="fixed"/>
        <w:tblCellMar>
          <w:top w:w="28" w:type="dxa"/>
          <w:left w:w="28" w:type="dxa"/>
          <w:bottom w:w="28" w:type="dxa"/>
          <w:right w:w="28" w:type="dxa"/>
        </w:tblCellMar>
      </w:tblPr>
      <w:tblGrid>
        <w:gridCol w:w="2257"/>
        <w:gridCol w:w="1985"/>
        <w:gridCol w:w="1997"/>
        <w:gridCol w:w="109"/>
        <w:gridCol w:w="109"/>
        <w:gridCol w:w="109"/>
        <w:gridCol w:w="526"/>
        <w:gridCol w:w="1985"/>
        <w:gridCol w:w="384"/>
      </w:tblGrid>
      <w:tr>
        <w:trPr/>
        <w:tc>
          <w:tcPr>
            <w:tcW w:w="225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credit losses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(23,895)</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on securities for which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on securities with previously recorded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credit losses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w:t>
            </w:r>
          </w:p>
        </w:tc>
        <w:tc>
          <w:tcPr>
            <w:tcW w:w="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unrealized losses and estimated fair value of any available-for-sale securities for which an allowance for credit losses has not been recorded that were in an unrealized loss position as of June 30, 2026 and December 31, 2025, respectively:</w:t>
      </w:r>
    </w:p>
    <w:tbl>
      <w:tblPr>
        <w:tblW w:w="10205" w:type="dxa"/>
        <w:jc w:val="left"/>
        <w:tblInd w:w="0" w:type="dxa"/>
        <w:tblLayout w:type="fixed"/>
        <w:tblCellMar>
          <w:top w:w="28" w:type="dxa"/>
          <w:left w:w="28" w:type="dxa"/>
          <w:bottom w:w="28" w:type="dxa"/>
          <w:right w:w="28" w:type="dxa"/>
        </w:tblCellMar>
      </w:tblPr>
      <w:tblGrid>
        <w:gridCol w:w="530"/>
        <w:gridCol w:w="465"/>
        <w:gridCol w:w="467"/>
        <w:gridCol w:w="109"/>
        <w:gridCol w:w="109"/>
        <w:gridCol w:w="109"/>
        <w:gridCol w:w="513"/>
        <w:gridCol w:w="989"/>
        <w:gridCol w:w="268"/>
        <w:gridCol w:w="109"/>
        <w:gridCol w:w="109"/>
        <w:gridCol w:w="109"/>
        <w:gridCol w:w="395"/>
        <w:gridCol w:w="1352"/>
        <w:gridCol w:w="204"/>
        <w:gridCol w:w="109"/>
        <w:gridCol w:w="109"/>
        <w:gridCol w:w="109"/>
        <w:gridCol w:w="513"/>
        <w:gridCol w:w="989"/>
        <w:gridCol w:w="268"/>
        <w:gridCol w:w="109"/>
        <w:gridCol w:w="109"/>
        <w:gridCol w:w="109"/>
        <w:gridCol w:w="395"/>
        <w:gridCol w:w="1253"/>
        <w:gridCol w:w="296"/>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with a loss greater than 12 months</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were two and three securities, respectively, with unrealized losses reflected in the table above. After evaluating the securities and recording adjustments for credit losses, the Company concluded that the remaining unrealized losses reflected above were non-credit related and would be recovered from the securities’ estimated future cash flows. The Company considered a number of factors in reaching this conclusion, including that it did not intend to sell the securities, it was not considered more likely than not that the Company would be forced to sell the securities prior to recovering its amortized cost, and there were no material credit events that would have caused the Company to otherwise conclude that it would not recover the cost of the securities. </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Mortgage-Backed Securities, Held-to-Maturity</w:t>
      </w:r>
    </w:p>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 investments in held-to-maturity CMBS, the table below summarizes various attributes of the Company's investments in held-to-maturity CMBS as of December 31, 2025:</w:t>
      </w:r>
    </w:p>
    <w:tbl>
      <w:tblPr>
        <w:tblW w:w="10205" w:type="dxa"/>
        <w:jc w:val="left"/>
        <w:tblInd w:w="0" w:type="dxa"/>
        <w:tblLayout w:type="fixed"/>
        <w:tblCellMar>
          <w:top w:w="28" w:type="dxa"/>
          <w:left w:w="28" w:type="dxa"/>
          <w:bottom w:w="28" w:type="dxa"/>
          <w:right w:w="28" w:type="dxa"/>
        </w:tblCellMar>
      </w:tblPr>
      <w:tblGrid>
        <w:gridCol w:w="382"/>
        <w:gridCol w:w="337"/>
        <w:gridCol w:w="338"/>
        <w:gridCol w:w="109"/>
        <w:gridCol w:w="109"/>
        <w:gridCol w:w="109"/>
        <w:gridCol w:w="223"/>
        <w:gridCol w:w="765"/>
        <w:gridCol w:w="115"/>
        <w:gridCol w:w="109"/>
        <w:gridCol w:w="109"/>
        <w:gridCol w:w="109"/>
        <w:gridCol w:w="322"/>
        <w:gridCol w:w="575"/>
        <w:gridCol w:w="167"/>
        <w:gridCol w:w="109"/>
        <w:gridCol w:w="109"/>
        <w:gridCol w:w="109"/>
        <w:gridCol w:w="224"/>
        <w:gridCol w:w="766"/>
        <w:gridCol w:w="115"/>
        <w:gridCol w:w="109"/>
        <w:gridCol w:w="109"/>
        <w:gridCol w:w="109"/>
        <w:gridCol w:w="408"/>
        <w:gridCol w:w="787"/>
        <w:gridCol w:w="213"/>
        <w:gridCol w:w="109"/>
        <w:gridCol w:w="109"/>
        <w:gridCol w:w="109"/>
        <w:gridCol w:w="371"/>
        <w:gridCol w:w="848"/>
        <w:gridCol w:w="192"/>
        <w:gridCol w:w="109"/>
        <w:gridCol w:w="109"/>
        <w:gridCol w:w="109"/>
        <w:gridCol w:w="211"/>
        <w:gridCol w:w="721"/>
        <w:gridCol w:w="163"/>
      </w:tblGrid>
      <w:tr>
        <w:trPr/>
        <w:tc>
          <w:tcPr>
            <w:tcW w:w="3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Loss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Holding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Holding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on the changes in CECL reserve for held-to-maturity CMBS for the three and six months ended June 30, 2026 and 2025:</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Mortgage Backed Securities (continued)</w:t>
      </w:r>
    </w:p>
    <w:p>
      <w:pPr>
        <w:pStyle w:val="TextBody"/>
        <w:bidi w:val="0"/>
        <w:spacing w:before="0" w:after="0"/>
        <w:jc w:val="left"/>
        <w:rPr/>
      </w:pPr>
      <w:r>
        <w:rPr/>
      </w:r>
    </w:p>
    <w:tbl>
      <w:tblPr>
        <w:tblW w:w="4638" w:type="dxa"/>
        <w:jc w:val="left"/>
        <w:tblInd w:w="0" w:type="dxa"/>
        <w:tblLayout w:type="fixed"/>
        <w:tblCellMar>
          <w:top w:w="28" w:type="dxa"/>
          <w:left w:w="28" w:type="dxa"/>
          <w:bottom w:w="28" w:type="dxa"/>
          <w:right w:w="28" w:type="dxa"/>
        </w:tblCellMar>
      </w:tblPr>
      <w:tblGrid>
        <w:gridCol w:w="1259"/>
        <w:gridCol w:w="1109"/>
        <w:gridCol w:w="1112"/>
        <w:gridCol w:w="109"/>
        <w:gridCol w:w="109"/>
        <w:gridCol w:w="109"/>
        <w:gridCol w:w="211"/>
        <w:gridCol w:w="46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CECL reserve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no investments in held-to-maturity CMBS, the table below summarizes the maturities of the Company's investments in held-to-maturity CMBS as of December 31, 2025: </w:t>
      </w:r>
    </w:p>
    <w:tbl>
      <w:tblPr>
        <w:tblW w:w="9881" w:type="dxa"/>
        <w:jc w:val="left"/>
        <w:tblInd w:w="0" w:type="dxa"/>
        <w:tblLayout w:type="fixed"/>
        <w:tblCellMar>
          <w:top w:w="28" w:type="dxa"/>
          <w:left w:w="28" w:type="dxa"/>
          <w:bottom w:w="28" w:type="dxa"/>
          <w:right w:w="28" w:type="dxa"/>
        </w:tblCellMar>
      </w:tblPr>
      <w:tblGrid>
        <w:gridCol w:w="759"/>
        <w:gridCol w:w="669"/>
        <w:gridCol w:w="671"/>
        <w:gridCol w:w="109"/>
        <w:gridCol w:w="109"/>
        <w:gridCol w:w="109"/>
        <w:gridCol w:w="211"/>
        <w:gridCol w:w="721"/>
        <w:gridCol w:w="109"/>
        <w:gridCol w:w="109"/>
        <w:gridCol w:w="109"/>
        <w:gridCol w:w="109"/>
        <w:gridCol w:w="431"/>
        <w:gridCol w:w="831"/>
        <w:gridCol w:w="223"/>
        <w:gridCol w:w="109"/>
        <w:gridCol w:w="109"/>
        <w:gridCol w:w="109"/>
        <w:gridCol w:w="211"/>
        <w:gridCol w:w="721"/>
        <w:gridCol w:w="109"/>
        <w:gridCol w:w="109"/>
        <w:gridCol w:w="109"/>
        <w:gridCol w:w="109"/>
        <w:gridCol w:w="257"/>
        <w:gridCol w:w="495"/>
        <w:gridCol w:w="133"/>
        <w:gridCol w:w="109"/>
        <w:gridCol w:w="109"/>
        <w:gridCol w:w="109"/>
        <w:gridCol w:w="464"/>
        <w:gridCol w:w="893"/>
        <w:gridCol w:w="338"/>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5. Real Estate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held-for-investment, consisted of the following as of June 30, 2026 and December 31, 2025:</w:t>
      </w:r>
    </w:p>
    <w:tbl>
      <w:tblPr>
        <w:tblW w:w="8587" w:type="dxa"/>
        <w:jc w:val="left"/>
        <w:tblInd w:w="0" w:type="dxa"/>
        <w:tblLayout w:type="fixed"/>
        <w:tblCellMar>
          <w:top w:w="28" w:type="dxa"/>
          <w:left w:w="28" w:type="dxa"/>
          <w:bottom w:w="28" w:type="dxa"/>
          <w:right w:w="28" w:type="dxa"/>
        </w:tblCellMar>
      </w:tblPr>
      <w:tblGrid>
        <w:gridCol w:w="1396"/>
        <w:gridCol w:w="1226"/>
        <w:gridCol w:w="1233"/>
        <w:gridCol w:w="109"/>
        <w:gridCol w:w="109"/>
        <w:gridCol w:w="109"/>
        <w:gridCol w:w="425"/>
        <w:gridCol w:w="1665"/>
        <w:gridCol w:w="219"/>
        <w:gridCol w:w="109"/>
        <w:gridCol w:w="109"/>
        <w:gridCol w:w="109"/>
        <w:gridCol w:w="313"/>
        <w:gridCol w:w="1228"/>
        <w:gridCol w:w="228"/>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402,161 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470,101 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514,424 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810"/>
        <w:jc w:val="left"/>
        <w:rPr/>
      </w:pPr>
      <w:r>
        <w:rPr/>
      </w:r>
    </w:p>
    <w:p>
      <w:pPr>
        <w:pStyle w:val="TextBody"/>
        <w:bidi w:val="0"/>
        <w:spacing w:before="120" w:after="120"/>
        <w:ind w:left="0" w:right="0" w:hanging="810"/>
        <w:jc w:val="left"/>
        <w:rPr/>
      </w:pPr>
      <w:r>
        <w:rPr/>
      </w:r>
    </w:p>
    <w:p>
      <w:pPr>
        <w:pStyle w:val="TextBody"/>
        <w:bidi w:val="0"/>
        <w:spacing w:lineRule="auto" w:line="288" w:before="120" w:after="120"/>
        <w:ind w:left="0" w:right="0" w:hanging="810"/>
        <w:jc w:val="left"/>
        <w:rPr>
          <w:rFonts w:ascii="Times New Roman;serif" w:hAnsi="Times New Roman;serif"/>
          <w:b w:val="false"/>
          <w:color w:val="231F20"/>
          <w:sz w:val="20"/>
        </w:rPr>
      </w:pPr>
      <w:r>
        <w:rPr>
          <w:rFonts w:ascii="Times New Roman;serif" w:hAnsi="Times New Roman;serif"/>
          <w:b w:val="false"/>
          <w:color w:val="231F20"/>
          <w:sz w:val="20"/>
        </w:rPr>
        <w:t>The following table details the Company's future amortization of intangible assets for each of the next five years and thereafter:</w:t>
      </w:r>
    </w:p>
    <w:tbl>
      <w:tblPr>
        <w:tblW w:w="3147" w:type="dxa"/>
        <w:jc w:val="left"/>
        <w:tblInd w:w="0" w:type="dxa"/>
        <w:tblLayout w:type="fixed"/>
        <w:tblCellMar>
          <w:top w:w="28" w:type="dxa"/>
          <w:left w:w="28" w:type="dxa"/>
          <w:bottom w:w="28" w:type="dxa"/>
          <w:right w:w="28" w:type="dxa"/>
        </w:tblCellMar>
      </w:tblPr>
      <w:tblGrid>
        <w:gridCol w:w="553"/>
        <w:gridCol w:w="486"/>
        <w:gridCol w:w="490"/>
        <w:gridCol w:w="109"/>
        <w:gridCol w:w="109"/>
        <w:gridCol w:w="109"/>
        <w:gridCol w:w="250"/>
        <w:gridCol w:w="857"/>
        <w:gridCol w:w="18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54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Real Estate (continued)</w: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future minimum lease payments to be collected under non-cancelable operating leases, excluding tenant reimbursements of expenses:</w:t>
      </w:r>
    </w:p>
    <w:tbl>
      <w:tblPr>
        <w:tblW w:w="4436" w:type="dxa"/>
        <w:jc w:val="left"/>
        <w:tblInd w:w="0" w:type="dxa"/>
        <w:tblLayout w:type="fixed"/>
        <w:tblCellMar>
          <w:top w:w="28" w:type="dxa"/>
          <w:left w:w="28" w:type="dxa"/>
          <w:bottom w:w="28" w:type="dxa"/>
          <w:right w:w="28" w:type="dxa"/>
        </w:tblCellMar>
      </w:tblPr>
      <w:tblGrid>
        <w:gridCol w:w="553"/>
        <w:gridCol w:w="486"/>
        <w:gridCol w:w="490"/>
        <w:gridCol w:w="109"/>
        <w:gridCol w:w="109"/>
        <w:gridCol w:w="109"/>
        <w:gridCol w:w="457"/>
        <w:gridCol w:w="1790"/>
        <w:gridCol w:w="333"/>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Contractual Lease Payments</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103,859 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450"/>
        <w:jc w:val="left"/>
        <w:rPr>
          <w:rFonts w:ascii="Times New Roman;serif" w:hAnsi="Times New Roman;serif"/>
          <w:b w:val="false"/>
          <w:i/>
          <w:color w:val="000000"/>
          <w:sz w:val="20"/>
        </w:rPr>
      </w:pPr>
      <w:r>
        <w:rPr>
          <w:rFonts w:ascii="Times New Roman;serif" w:hAnsi="Times New Roman;serif"/>
          <w:b w:val="false"/>
          <w:i/>
          <w:color w:val="000000"/>
          <w:sz w:val="20"/>
        </w:rPr>
        <w:t>Investments in Real Estate, Held-for-Sale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real estate, held-for-sale as of June 30, 2026, included three multifamily properties located in Antioch, TN, Doraville, GA, and Philadelphia, PA with an aggregate carrying value of $116,851. Depreciation and amortization are suspended for these properties and the assets are carried at the lower of the asset’s carrying amount or fair value less estimated costs to sell.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determined that an investment in real estate previously classified as held-for-sale no longer met the criteria for held</w:t>
        <w:noBreakHyphen/>
        <w:t>for</w:t>
        <w:noBreakHyphen/>
        <w:t>sale accounting due to the Company’s revised disposition strategy. Accordingly, the property was reclassified to held-for-investment and measured at the lower of its carrying amount prior to held</w:t>
        <w:noBreakHyphen/>
        <w:t>for</w:t>
        <w:noBreakHyphen/>
        <w:t>sale classification, adjusted for depreciation that would have been recognized, or its fair value at the reclassification date. The resulting carrying amount did not give rise to an impairment loss during the period. Depreciation and amortization expense related to the property resumed prospectively upon reclassification. The value of the asset immediately following reclassification to held-for-investment was $99,634. The remeasurement upon reclassification included a reduction of $6,320 related to depreciation and amortization that would have been recognized had the property been classified as held-for-investment since acquisition. This adjustment was recorded within depreciation and amortization expense within the Consolidated Income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w:t>
      </w:r>
    </w:p>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summary information with respect to the Company's outstanding financing arrangements as of June 30, 2026 and December 31, 2025. </w:t>
      </w:r>
    </w:p>
    <w:tbl>
      <w:tblPr>
        <w:tblW w:w="10205" w:type="dxa"/>
        <w:jc w:val="center"/>
        <w:tblInd w:w="0" w:type="dxa"/>
        <w:tblLayout w:type="fixed"/>
        <w:tblCellMar>
          <w:top w:w="28" w:type="dxa"/>
          <w:left w:w="28" w:type="dxa"/>
          <w:bottom w:w="28" w:type="dxa"/>
          <w:right w:w="28" w:type="dxa"/>
        </w:tblCellMar>
      </w:tblPr>
      <w:tblGrid>
        <w:gridCol w:w="471"/>
        <w:gridCol w:w="413"/>
        <w:gridCol w:w="416"/>
        <w:gridCol w:w="109"/>
        <w:gridCol w:w="109"/>
        <w:gridCol w:w="109"/>
        <w:gridCol w:w="324"/>
        <w:gridCol w:w="324"/>
        <w:gridCol w:w="326"/>
        <w:gridCol w:w="109"/>
        <w:gridCol w:w="109"/>
        <w:gridCol w:w="109"/>
        <w:gridCol w:w="207"/>
        <w:gridCol w:w="923"/>
        <w:gridCol w:w="115"/>
        <w:gridCol w:w="109"/>
        <w:gridCol w:w="109"/>
        <w:gridCol w:w="109"/>
        <w:gridCol w:w="201"/>
        <w:gridCol w:w="894"/>
        <w:gridCol w:w="111"/>
        <w:gridCol w:w="109"/>
        <w:gridCol w:w="109"/>
        <w:gridCol w:w="109"/>
        <w:gridCol w:w="342"/>
        <w:gridCol w:w="288"/>
        <w:gridCol w:w="289"/>
        <w:gridCol w:w="109"/>
        <w:gridCol w:w="109"/>
        <w:gridCol w:w="109"/>
        <w:gridCol w:w="216"/>
        <w:gridCol w:w="963"/>
        <w:gridCol w:w="120"/>
        <w:gridCol w:w="109"/>
        <w:gridCol w:w="109"/>
        <w:gridCol w:w="109"/>
        <w:gridCol w:w="207"/>
        <w:gridCol w:w="920"/>
        <w:gridCol w:w="173"/>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 (Unaudited)</w:t>
            </w:r>
          </w:p>
        </w:tc>
      </w:tr>
      <w:tr>
        <w:trPr/>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Weighted Average Spread</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Amount Outstanding</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 of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 Collateral</w:t>
            </w:r>
          </w:p>
        </w:tc>
      </w:tr>
      <w:tr>
        <w:trPr/>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+2.00%</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+1.82%</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4,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2024-FL9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+1.96%</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21, 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858,389 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857,492 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2025-FL10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+1.59%</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890,237 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19, 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936,407 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2026-FL11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+1.61%</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20, 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3,335,244 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3,976,366 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3,963,970 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GS-1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+1.77%</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+1.50%</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MS-1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+1.47%</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9,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+0.87%</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NTX-1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+1.28%</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29,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BMO-1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17,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Lucid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WF-2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+2.00%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Blue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17,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CB-1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+1.91%</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9,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+1.95%</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val="false"/>
                <w:color w:val="000000"/>
                <w:sz w:val="18"/>
              </w:rPr>
              <w:t>+1.35%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19,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Citi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2,675,439 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2,985,748 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2,977,399 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+2.05%</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965,914 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17,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1,140,914 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1,352,348 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++2.15%</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July 9, 2026</w:t>
            </w: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6,849,428 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3,436,525 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8,453,879 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8,478,717 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The rates are expressed over the relevant floating benchmark rates, which include Term SOFR and SOFR Average (compounded average of SOFR over a rolling 30-day period).</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    The amount outstanding under the facilities approximates their fair value. </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Term SOFR or SOFR Average (compounded average of SOFR over a rolling 30-day period), subject to a 0.00% floor.</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Benchmark rate is subject to a 0.00% floor. SOFR benchmark rate is selected with respect to a transaction as set forth in the related transaction confirmation for the underlying transaction.</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(5)    Term SOFR is subject to a 0.00% floor. GS-1 and Goldman Sachs may mutually agree on rates outside this range or a different floor on an asset by asset basis.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(6)     Borrowings under the RBC Facility consists of one or more floating and fixed rate transactions. Fixed rate transactions are reflected as a spread over the relevant floating benchmark rate.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(7)    Term SOFR is subject to a 0.00% floor.</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(8)    Borrowings under the Barclays Facility bear interest, at the Company's election, at either a base rate plus a spread of 1.25% per annum or one-, three- or six-month Term SOFR plus a spread of 2.25% per annum and a credit spread adjustment of 0.10% per annum.</w:t>
      </w:r>
    </w:p>
    <w:p>
      <w:pPr>
        <w:pStyle w:val="TextBody"/>
        <w:bidi w:val="0"/>
        <w:spacing w:lineRule="auto" w:line="288"/>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(9)    In July 2026, the Company extended the mortgage loan one year to July 9, 2027.</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tbl>
      <w:tblPr>
        <w:tblW w:w="10205" w:type="dxa"/>
        <w:jc w:val="left"/>
        <w:tblInd w:w="0" w:type="dxa"/>
        <w:tblLayout w:type="fixed"/>
        <w:tblCellMar>
          <w:top w:w="28" w:type="dxa"/>
          <w:left w:w="28" w:type="dxa"/>
          <w:bottom w:w="28" w:type="dxa"/>
          <w:right w:w="28" w:type="dxa"/>
        </w:tblCellMar>
      </w:tblPr>
      <w:tblGrid>
        <w:gridCol w:w="468"/>
        <w:gridCol w:w="410"/>
        <w:gridCol w:w="414"/>
        <w:gridCol w:w="109"/>
        <w:gridCol w:w="109"/>
        <w:gridCol w:w="109"/>
        <w:gridCol w:w="335"/>
        <w:gridCol w:w="335"/>
        <w:gridCol w:w="336"/>
        <w:gridCol w:w="109"/>
        <w:gridCol w:w="109"/>
        <w:gridCol w:w="109"/>
        <w:gridCol w:w="207"/>
        <w:gridCol w:w="919"/>
        <w:gridCol w:w="115"/>
        <w:gridCol w:w="109"/>
        <w:gridCol w:w="109"/>
        <w:gridCol w:w="109"/>
        <w:gridCol w:w="200"/>
        <w:gridCol w:w="893"/>
        <w:gridCol w:w="111"/>
        <w:gridCol w:w="109"/>
        <w:gridCol w:w="109"/>
        <w:gridCol w:w="109"/>
        <w:gridCol w:w="341"/>
        <w:gridCol w:w="286"/>
        <w:gridCol w:w="287"/>
        <w:gridCol w:w="109"/>
        <w:gridCol w:w="109"/>
        <w:gridCol w:w="109"/>
        <w:gridCol w:w="215"/>
        <w:gridCol w:w="957"/>
        <w:gridCol w:w="119"/>
        <w:gridCol w:w="109"/>
        <w:gridCol w:w="109"/>
        <w:gridCol w:w="109"/>
        <w:gridCol w:w="206"/>
        <w:gridCol w:w="917"/>
        <w:gridCol w:w="172"/>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Weighted Average 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Amount Outstanding</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 of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 Collateral</w:t>
            </w:r>
          </w:p>
        </w:tc>
      </w:tr>
      <w:tr>
        <w:trPr/>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+1.88%</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2021-FL3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+1.81%</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524,403 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4,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727,133 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2024-FL9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+1.96%</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21, 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2025-FL10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+1.59%</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890,237 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19, 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965,475 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965,065 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2,524,778 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2,985,985 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2,983,282 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+1.63%</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377,446 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GS-1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+1.90%</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+1.62%</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MS-1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9,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+0.91%</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NTX-1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+1.30%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29,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BMO-1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+1.57%</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16,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Lucid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WF-2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+2.50%</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Blue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+1.60%</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17,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CB-1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+1.93%</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9,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900,789 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JP-1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+1.95%</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+1.34%</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Citi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2,671,716 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1,899,732 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3,465,815 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3,458,323 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MM-1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+2.05%</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968,776 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17,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1,254,839 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1,252,040 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+2.35%</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1,063,776 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1,254,839 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1,252,040 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+2.15%</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6,384,970 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2,737,956 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7,855,722 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7,878,645 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The rates are expressed over the relevant floating benchmark rates, which include Term SOFR and SOFR Average (compounded average of SOFR over a rolling 30-day period).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The amount outstanding under the facilities approximates their fair value.</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Term SOFR or SOFR Average (compounded average of SOFR over a rolling 30-day period), subject to a 0.00% floor.</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Benchmark rate is subject to a 0.00% floor. SOFR benchmark rate is selected with respect to a transaction as set forth in the related transaction confirmation for the underlying transaction.</w:t>
      </w:r>
    </w:p>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(5)    Term SOFR is subject to a 0.00% floor. GS-1 and Goldman Sachs may mutually agree on rates outside this range or a different floor on an asset by asset basis.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(6)     Borrowings under the RBC Facility consists of one or more floating and fixed rate transactions. Fixed rate transactions are reflected as a spread over the relevant floating benchmark rate.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(7)    Term SOFR is subject to a 0.00% floor.</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(8)    Borrowings under the Barclays Facility bear interest, at the Company's election, at either a base rate plus a spread of 1.25% per annum or one-, three- or six-month Term SOFR plus a spread of 2.25% per annum and a credit spread adjustment of 0.10% per annum.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average borrowings and weighted average interest rate, including the effect of non-usage fees, for the six months ended June 30, 2026 were $6,514,371 and 5.52%, respectively. The Company's average borrowings and weighted average interest rate, including the effect of non-usage fees, for the year ended December 31, 2025 were $5,827,732 and 6.24%, respectively.</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its financing arrangements, the Company has made certain representations and warranties and is required to comply with various covenants, reporting requirements and other customary requirements for similar financing arrangements. The Company was in compliance with all covenants required by its financing arrangements as of June 30, 2026 and December 31,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Maturities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requires the amount outstanding on debt obligations to be paid down before the financing arrangement's respective maturity date. The following table sets forth the Company's repayment schedule for secured financings outstanding as of June 30, 2026 based on the maturity date of each financing arrangement: </w:t>
      </w:r>
    </w:p>
    <w:tbl>
      <w:tblPr>
        <w:tblW w:w="10205"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300"/>
        <w:gridCol w:w="1391"/>
        <w:gridCol w:w="156"/>
        <w:gridCol w:w="109"/>
        <w:gridCol w:w="109"/>
        <w:gridCol w:w="109"/>
        <w:gridCol w:w="254"/>
        <w:gridCol w:w="1175"/>
        <w:gridCol w:w="131"/>
        <w:gridCol w:w="109"/>
        <w:gridCol w:w="109"/>
        <w:gridCol w:w="109"/>
        <w:gridCol w:w="266"/>
        <w:gridCol w:w="1231"/>
        <w:gridCol w:w="137"/>
        <w:gridCol w:w="109"/>
        <w:gridCol w:w="109"/>
        <w:gridCol w:w="109"/>
        <w:gridCol w:w="227"/>
        <w:gridCol w:w="892"/>
        <w:gridCol w:w="117"/>
        <w:gridCol w:w="109"/>
        <w:gridCol w:w="109"/>
        <w:gridCol w:w="109"/>
        <w:gridCol w:w="211"/>
        <w:gridCol w:w="976"/>
        <w:gridCol w:w="16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Collateralized Loan Obligations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Revolving Credit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Mortgage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1,958,684 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3,335,244 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2,248,570 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1,140,914 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6,849,428 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The allocation of repayments under the Company's collateralized loan obligations is based on the maturity date of each agreement, or the maximum maturity date assuming all extension options are exercised by the borrower if the reinvestment period has expired.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Collateralized Loan Obligations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financed certain pools of loans through collateralized loan obligations, which include 2021-FL2, 2021-FL3, 2024-FL9, 2025-FL10 and 2026-FL11, or collectively, the CLOs. The following table outlines the number of loans, including partial loans, and the principal balance of the collateralized pool of interests for each CLO: </w:t>
      </w:r>
    </w:p>
    <w:tbl>
      <w:tblPr>
        <w:tblW w:w="5353" w:type="dxa"/>
        <w:jc w:val="left"/>
        <w:tblInd w:w="0" w:type="dxa"/>
        <w:tblLayout w:type="fixed"/>
        <w:tblCellMar>
          <w:top w:w="28" w:type="dxa"/>
          <w:left w:w="28" w:type="dxa"/>
          <w:bottom w:w="28" w:type="dxa"/>
          <w:right w:w="28" w:type="dxa"/>
        </w:tblCellMar>
      </w:tblPr>
      <w:tblGrid>
        <w:gridCol w:w="560"/>
        <w:gridCol w:w="491"/>
        <w:gridCol w:w="494"/>
        <w:gridCol w:w="109"/>
        <w:gridCol w:w="109"/>
        <w:gridCol w:w="109"/>
        <w:gridCol w:w="374"/>
        <w:gridCol w:w="374"/>
        <w:gridCol w:w="376"/>
        <w:gridCol w:w="154"/>
        <w:gridCol w:w="154"/>
        <w:gridCol w:w="154"/>
        <w:gridCol w:w="298"/>
        <w:gridCol w:w="1380"/>
        <w:gridCol w:w="217"/>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 (Unaudited)</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Collateral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Count</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w:t>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2021-FL2</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338,999 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2021-FL3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712,448 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2024-FL9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858,499 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2025-FL10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937,094 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2026-FL11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1,034,653 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3,881,693 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As of June 30, 2026 2021-FL2 held full ownership of three investments in real estate for a total carrying value of $95,317.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financing costs and discounts related to the collateralization of the CLO notes are amortized to interest expense over the remaining life of the loans. The following table outlines the net book value of the CLOs on the Company's consolidated balance sheets:</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tbl>
      <w:tblPr>
        <w:tblW w:w="644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976"/>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3,135,910 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Repurchase Agreements</w:t>
      </w:r>
    </w:p>
    <w:p>
      <w:pPr>
        <w:pStyle w:val="TextBody"/>
        <w:bidi w:val="0"/>
        <w:spacing w:lineRule="auto" w:line="26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maintains in effect fourteen repurchase facilities. The Company, through direct or indirect wholly owned subsidiaries, entered into repurchase agreements with Wells Fargo (the “WF-1 Facility and WF-2 Facility”), Goldman Sachs (the “GS-1 Facility”), Royal Bank of Canada (the “RBC Facility”), Barclays Bank PLC (the “BB-1 Facility" and "Finance Blue Facility”), Citibank N.A. (the "CB-1 Facility"), Morgan Stanley Bank, N.A. (the “MS-1 Facility”), Natixis, New York Branch (the “NTX-1 Facility”), Bank of Montreal (the "BMO-1 Facility"), Lucid Prime Fund ( the "Lucid Facility"), JP Morgan Chase Bank, N.A. (the JP-1 Facility”), Capital One, N.A. (the “CO-1 Facility”), and CitiGroup Global Markets (the "Citi Facility"). The Company uses repurchase facilities for multiple purposes, including, but not limited to, (i) financing the acquisition and origination of (a) real estate loans or senior controlling participation interests in such loans, (b) pari passu participation interests in mortgage loans and (c) mezzanine loans, and (ii) repurchase transactions of securities and financial instruments. Each repurchase facility is subject to certain representations, warranties, covenants, events of default and indemnities unique to each facility but customary for agreements of this type. Further, the Company has entered into guarantees with respect to each of the repurchase facilities in which the Company guarantees obligations of the facility. Each transaction under each repurchase facility has its own specific terms, such as identification of the assets subject to the transaction, sale price, repurchase price and rate.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deferred financing costs in connection with each repurchase facility, which costs are being amortized to interest expense over the life of that repurchase facility. The following table outlines the net book value of the Company's repurchase facilities on its consolidated balance sheets.</w:t>
      </w:r>
    </w:p>
    <w:tbl>
      <w:tblPr>
        <w:tblW w:w="644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976"/>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1,787,524 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maintains in effect, two revolving credit facilities, the Barclays Facility and the MM-1 Facility. The Barclays Facility is utilized for purposes of financing the operating expenses and general corporate purposes of the Company and its subsidiaries. The MM-1 Facility is utilized for the purposes of financing the acquisition and origination of commercial mortgage loan assets meeting specified eligibility criteria and concentration limits, paying transaction costs and funding distributions to FS CREIT Finance Holdings, LLC (and ultimately to the Company).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incurred deferred financing costs in connection with each revolving credit facility, which costs are being amortized to interest expense over the life of that facility. The following table details the net book value of the Company's revolving credit facilities on its consolidated balance sheets.</w:t>
      </w:r>
    </w:p>
    <w:tbl>
      <w:tblPr>
        <w:tblW w:w="629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976"/>
        <w:gridCol w:w="109"/>
        <w:gridCol w:w="109"/>
        <w:gridCol w:w="109"/>
        <w:gridCol w:w="109"/>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Mortgage Loan</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Financing Arrangements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23, 2022, FS CREIT 555 Aviation LLC, an indirect wholly-owned subsidiary of the Company, entered into a mortgage loan related to its purchase of a commercial real estate asset. The Company incurred deferred financing costs, which are being amortized to interest expense over the life of the facility. The following table details the net book value of the Company's mortgage loan on its consolidated balance sheets.</w:t>
      </w:r>
    </w:p>
    <w:tbl>
      <w:tblPr>
        <w:tblW w:w="6140" w:type="dxa"/>
        <w:jc w:val="left"/>
        <w:tblInd w:w="0" w:type="dxa"/>
        <w:tblLayout w:type="fixed"/>
        <w:tblCellMar>
          <w:top w:w="28" w:type="dxa"/>
          <w:left w:w="28" w:type="dxa"/>
          <w:bottom w:w="28" w:type="dxa"/>
          <w:right w:w="28" w:type="dxa"/>
        </w:tblCellMar>
      </w:tblPr>
      <w:tblGrid>
        <w:gridCol w:w="1140"/>
        <w:gridCol w:w="998"/>
        <w:gridCol w:w="1011"/>
        <w:gridCol w:w="109"/>
        <w:gridCol w:w="109"/>
        <w:gridCol w:w="109"/>
        <w:gridCol w:w="211"/>
        <w:gridCol w:w="826"/>
        <w:gridCol w:w="109"/>
        <w:gridCol w:w="109"/>
        <w:gridCol w:w="109"/>
        <w:gridCol w:w="109"/>
        <w:gridCol w:w="211"/>
        <w:gridCol w:w="82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Note 7. Related Party Transactions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Compensation of FS Real Estate Advisor, Rialto, and the Dealer Manager</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Base Management Fee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fifth amended and restated advisory agreement dated as of November 13, 2025 (the "Advisory Agreement"), FS Real Estate Advisor is entitled to a base management fee equal to 1.25% of the NAV for the Company's Class T, Class S, Class D, Class M and Class I shares, payable quarterly in arrears. The payment of all or any portion of the base management fee accrued with respect to any quarter may be deferred by FS Real Estate Advisor, without interest, and may be taken in any such other quarter as FS Real Estate Advisor may determine. In calculating the Company's base management fee, the Company will use its NAV before giving effect to accruals for such fee, the performance fee, the administrative services fee, stockholder servicing fees or distributions payable on its shares. The base management fee is a class-specific expense. No base management fee is paid on the Company's Class F or Class Y shares.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Performance Fee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Real Estate Advisor is also entitled to the performance fee calculated and payable quarterly in arrears in an amount equal to 10.0% of the Company's Core Earnings (as defined below) for the immediately preceding quarter, subject to a hurdle rate, expressed as a rate of return on average adjusted capital, equal to 1.625% per quarter, or an annualized hurdle rate of 6.5%. As a result, FS Real Estate Advisor does not earn a performance fee for any quarter until the Company's Core Earnings for such quarter exceed the hurdle rate of 1.625%. For purposes of the performance fee, “adjusted capital” means cumulative net proceeds generated from sales of the Company's common stock other than Class F common stock (including proceeds from the Company's distribution reinvestment plan) reduced for distributions from non-liquidating dispositions of the Company's investments paid to stockholders and amounts paid for share repurchases pursuant to the Company's share repurchase plan. Once the Company's Core Earnings in any quarter exceed the hurdle rate, FS Real Estate Advisor will be entitled to a “catch-up” fee equal to the amount of Core Earnings in excess of the hurdle rate, until the Company's Core Earnings for such quarter equal 1.806%, or 7.222% annually, of adjusted capital. Thereafter, FS Real Estate Advisor is entitled to receive 10.0% of the Company's Core Earnings.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purposes of calculating the performance fee, “Core Earnings” means: the net income (loss) attributable to stockholders of Class Y, Class T, Class S, Class D, Class M and Class I shares, computed in accordance with GAAP (provided that net income (loss) attributable to Class Y stockholders shall be reduced by an amount equal to the base management fee that would have been paid if Class Y shares were subject to such fee), including realized gains (losses) not otherwise included in GAAP net income (loss) and excluding (i) non-cash equity compensation expense, (ii) the performance fee, (iii) depreciation and amortization, (iv) any unrealized gains or losses or other similar non-cash items that are included in net income for the applicable reporting period, regardless of whether such items are included in other comprehensive income or loss, or in net income, and (v) one-time events pursuant to changes in GAAP and certain material non-cash income or expense items, in each case after discussions between FS Real Estate Advisor and the Company's independent directors and approved by a majority of the Company's independent directors. The performance fee is a class-specific expense. No performance fee is paid on the Company's Class F shares.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Method of Payment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Advisory Agreement, the base management fee and performance fee may be paid, at FS Real Estate Advisor’s election, in (i) cash, (ii) Class I shares, (iii) performance-contingent rights Class I share awards, or Class I PCRs, or (iv) any combination of cash, Class I shares or Class I PCRs.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Class I PCR agreement entered into between the Company, FS Real Estate Advisor and Rialto, or the Adviser Entities, the PCR Agreement, management and performance fees may be payable to the Adviser Entities in the form of Class I PCRs to the extent that distributions paid to stockholders in the applicable fiscal quarter exceed the Company’s Adjusted Core Earnings. “Adjusted Core Earnings” means: the net income (loss) attributable to stockholders, computed in accordance with GAAP, including (i) realized gains (losses) not otherwise included in GAAP net income (loss), (ii) stockholder servicing fees, and (iii) reimbursements for organization and offering expenses, and excluding (A) non-cash equity compensation expense, (B) non-cash equity based administration fees, (C) depreciation and amortization, (D) any unrealized gains or losses or other similar non-cash items that are included in net income for the applicable reporting period, regardless of whether such items are included in other comprehensive income or loss, or in net income, and (E) one-time events pursuant to changes in GAAP and certain material non-cash income or expense items. Thereafter, Class I PCRs may become issuable in the form of Class I shares upon the achievement of the following conditions in any fiscal quarter following the initial issuance of the Class I PCRs, together, the Performance Conditions: (a) Adjusted Core Earnings for the quarter exceed distributions paid to stockholders during such quarter (such difference, the “Excess Distributable Income”) and (b) the annualized distribution yield on the Class I Shares (measured over such quarter) is at least at the yield target determined by management given then-current market conditions, the Yield Target. The initial Yield Target will be a 6.0% annualized yield on the Class I shares.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the last day of any fiscal quarter in which the Company achieves the Performance Conditions (the “Performance Achievement Date”), the Company will issue to the Adviser Entities the number of Class I shares equal in value to the Excess Distributable Income for such quarter in respect of any outstanding Class I PCRs. The Adviser Entities, and their respective affiliates and employees, may not request repurchase by the Company of any Class I shares issued under the PCR Agreement for a period of six (6) months from the date of issuance. Thereafter, upon ten days’ written notice to the Company by the Adviser Entities, the Company must repurchase any Class I shares requested to be repurchased by the Adviser Entities at the then current transaction price per Class I share; provided that no repurchase shall be permitted that would jeopardize the Company’s qualification as a REIT or violate Maryland law. If, prior to the Performance Achievement Date, (i) the Advisory Agreement is terminated in accordance with Section 12(b) of the Advisory Agreement (other than Section 12(b)(iii) thereof) or (ii) the sub-advisory agreement is terminated in accordance with Section 9(b) thereof (other than Section 9(b)(v) thereof), any rights related to the Class I PCRs evidenced thereby by the terminated party as of the date of such termination shall immediately vest and the Company shall issue the number of Class I shares issuable upon such vesting. If, prior to the Performance Achievement Date, either of the Adviser Entities resigns as the adviser or sub-adviser, respectively, of the Company, then any rights related to the Class I PCRs evidenced thereby as of the date of such resignation shall remain outstanding and Class I shares issuable in respect thereof shall be issued upon achievement of the Performance Conditions.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Administrative Services Fee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Advisory Agreement, FS Real Estate Advisor is entitled to an administrative services fee equal to 1.0% of the Company’s NAV per annum attributable to all shares of common stock, before giving effect to any accruals for the base management fee, the performance fee, the administrative services fee, the stockholder servicing fee or any distributions. The administrative services fee is payable quarterly and in arrears in the cash equivalent number of restricted stock units (“Class I RSUs”) representing the right to receive Class I shares of the Company’s common stock (“Class I shares”) based on the then-current Class I transaction price as of the last day of such quarter. Class I RSUs in payment of the administrative services fee will provide the adviser the right to receive a number of Class I shares equivalent to the number of Class I RSUs, subject to the terms and conditions set forth in the Class I RSU Agreement (as defined below).</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Real Estate Advisor may elect, at a later date, to have the Company repurchase some or all of the Class I shares issued to the adviser in accordance with the Advisory Agreement, including Class I shares issued pursuant to any Class I RSUs, at a per share price equal to the then-current Class I share transaction price. Such Class I shares will not be subject to the repurchase limits of the Company’s share repurchase plan or any reduction or penalty for an early repurchase, provided that the approval of the Company’s independent directors is required for any repurchase request of FS Real Estate Advisor or Rialto, for Class I shares received as payment for advisory fees that, when combined with any stockholder repurchase requests submitted through the Company’s share purchase plan, would cause the Company to exceed the monthly and quarterly repurchase limitations of its share repurchase plan. The FS Real Estate Advisor will have no registration rights with respect to such Class I shares. Any such Class I shares and Class I RSUs issued to Rialto will have the same rights and conditions as those issued to FS Real Estate Advisor.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least annually, the Company’s board of directors reviews the amount of the administrative services fees and expenses reimbursable to FS Real Estate Advisor, Rialto and unaffiliated third-parties to determine whether such amounts are reasonable in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relation to the services provided. The Company will not reimburse FS Real Estate Advisor or Rialto for any services for which it receives a separate fee or for any administrative expenses allocated to employees to the extent they serve as executive officers of the Company.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Class I Restricted Stock Unit Agreement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 2022, the Company, FS Real Estate Advisor and Rialto entered into the Class I Restricted Stock Unit Agreement (the “Class I RSU Agreement”). Pursuant to the Class I RSU Agreement, and in accordance with the Advisory Agreement, the administrative services fee will be payable quarterly in arrears on the last day of each quarter in the cash equivalent number of Class I RSUs based on the then-current Class I share transaction price as of the last day of such quarter. On the last day of each quarter, the Company will issue to FS Real Estate Advisor and Rialto the cash equivalent number of Class I RSUs to which each is entitled. Class I RSUs will vest ratably on the first calendar day of the month following the one, two and three-year anniversary of the applicable grant date, provided that (i) 100% of FS Real Estate Advisor’s Class I RSUs will immediately vest upon the nonrenewal or termination of the Advisory Agreement pursuant to Section 12(b)(ii), Section 12(b)(iii) or Section 12(b)(iv) thereof; (ii) 100% of the Sub-Adviser’s Class I RSUs will immediately vest upon the nonrenewal or termination of the sub-advisory agreement between FS Real Estate Advisor and Rialto (the “Sub-Advisory Agreement”) pursuant to Section 9(b)(i), Section 9(b)(iii), Section 9(b)(iv), Section 9(b)(v) or Section 9(b)(vi) thereof; (iii) 100% of FS Real Estate Advisor’s unvested Class I RSUs will be automatically forfeited upon termination of the Advisory Agreement pursuant to Section 12(b)(i) thereof; and (iv) 100% of the Sub-Adviser’s unvested Class I RSUs will be automatically forfeited upon termination of the Sub-Advisory Agreement pursuant to Section 9(b)(ii) thereof. If FS Real Estate Advisor and Rialto resigns as the Company’s adviser or sub-adviser, respectively, then any rights related to the Class I RSUs evidenced thereby as of the date of such resignation will remain outstanding and Class I shares issuable in respect thereof will be issued upon the applicable vesting date. If the Company declares a cash distribution on the Class I shares underlying unvested Class I RSUs, then the Company will credit the account of FS Real Estate Advisor and Rialto with the applicable distribution equivalents, which will be subject to the same vesting and forfeiture restrictions as the Class I RSUs. FS Real Estate Advisor and Rialto, and their respective affiliates and employees, may not request repurchase by the Company of any Class I shares issued under the Class I RSU Agreement for a period of six months from the date of issuance. Thereafter, upon ten days’ written notice to the Company the Company must repurchase any Class I shares requested to be repurchased by FS Real Estate Advisor and Rialto at the most recently published transaction price per Class I share; provided that no repurchase will be permitted that would jeopardize the Company’s qualification as a REIT or violate Maryland law.</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11, 2025, the Class I RSU Agreement was amended. As amended, the Class I RSU Agreement provides that (i) RSUs granted after March 31, 2025 will vest ratably over four years starting after the second anniversary of the grant date and (ii) previously issued and outstanding RSUs are eligible to vest proportionally on the first calendar day of the month following the anniversary of the applicable grant date in each of 2026, 2027, 2028 and 2029.</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Origination and Other Fees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Real Estate Advisor has engaged Rialto as sub-adviser to originate or arrange loans and other investments on behalf of the Company, and FS Real Estate Advisor oversees the sub-adviser’s origination activities. In connection with these activities, origination or other fees of up to 1.0% of the loan amount for first lien, subordinated or mezzanine debt, preferred equity financing or other investments may be retained by Rialto or FS Real Estate Advisor. Such origination and other fees will be retained only to the extent they are paid by a borrower or seller, either directly to Rialto or FS Real Estate Advisor or indirectly through the Company. During the six months ended June 30, 2026 and 2025, $15,052 and $6,820, respectively, in origination and other fees were paid directly by a borrower or seller to FS Real Estate Advisor or Rialto and not to the Company.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Offering Costs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Future Standard funded the Company’s offering costs in the amount of $30,879 for the period from November 7, 2016 (Inception) to June 30, 2026. These expenses include legal, accounting, printing, mailing and filing fees and expenses, due diligence expenses of participating broker-dealers supported by detailed and itemized invoices, costs in connection with preparing sales materials, design and website expenses, fees and expenses of the Company’s transfer agent, fees to attend retail seminars sponsored by participating broker-dealers and reimbursements for customary travel, lodging, and meals, but excluding selling commissions, dealer manager fees and stockholder servicing fees.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Real Estate Advisor may be reimbursed for any organization and offering expenses that it or Rialto has incurred on the Company's behalf, up to a cap of 0.75% of gross proceeds raised. During the six months ended June 30, 2026, the Company paid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$1,238 to FS Real Estate Advisor for offering costs previously funded. As of June 30, 2026, $2,693 of offering expenses previously funded remained subject to reimbursement to FS Real Estate Advisor and Rialto.</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Valuation Services Fee</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a sub-advisory agreement between FS Real Estate Advisor and Rialto, FS Real Estate Advisor has engaged Rialto to provide periodic valuations of certain investments held by the Company and is entitled to a fee of $1 for each valuation of an individual investment. Rialto shall not be entitled to a fee when an individual investment is valued by an independent valuation firm. Any fees paid to our adviser, the sub-adviser, or their affiliates for any such services does not reduce the advisory fees or the administrative services fees. Any such arrangements are at market terms and rates.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the fees and expenses accrued under the advisory agreement and sub-advisory agreement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95"/>
        <w:gridCol w:w="348"/>
        <w:gridCol w:w="349"/>
        <w:gridCol w:w="109"/>
        <w:gridCol w:w="109"/>
        <w:gridCol w:w="109"/>
        <w:gridCol w:w="569"/>
        <w:gridCol w:w="406"/>
        <w:gridCol w:w="407"/>
        <w:gridCol w:w="109"/>
        <w:gridCol w:w="109"/>
        <w:gridCol w:w="109"/>
        <w:gridCol w:w="589"/>
        <w:gridCol w:w="463"/>
        <w:gridCol w:w="468"/>
        <w:gridCol w:w="109"/>
        <w:gridCol w:w="109"/>
        <w:gridCol w:w="109"/>
        <w:gridCol w:w="214"/>
        <w:gridCol w:w="731"/>
        <w:gridCol w:w="110"/>
        <w:gridCol w:w="110"/>
        <w:gridCol w:w="110"/>
        <w:gridCol w:w="110"/>
        <w:gridCol w:w="214"/>
        <w:gridCol w:w="731"/>
        <w:gridCol w:w="110"/>
        <w:gridCol w:w="109"/>
        <w:gridCol w:w="109"/>
        <w:gridCol w:w="109"/>
        <w:gridCol w:w="211"/>
        <w:gridCol w:w="721"/>
        <w:gridCol w:w="109"/>
        <w:gridCol w:w="109"/>
        <w:gridCol w:w="109"/>
        <w:gridCol w:w="109"/>
        <w:gridCol w:w="211"/>
        <w:gridCol w:w="721"/>
        <w:gridCol w:w="163"/>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Base Management Fee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Fee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Administrative Services Fee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Rialto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Sub-Advisory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Valuation Services Fees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Real Estate Advisor or Rialto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and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During the six months ended June 30, 2026, FS Real Estate Advisor received $3,964 in cash and $17,200 of performance contingent rights were issued as payment for management fees. During the six months ended June 30, 2025, FS Real Estate Advisor received $18,657 in cash as payment for base management fees. As of June 30, 2026, there were $1,416 base management fees payable to FS Real Estate Advisor.</w:t>
      </w:r>
    </w:p>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During the six months ended June 30, 2026 and 2025, no performance fees were paid to FS Real Estate Advisor. As of June 30, 2026, there were no performance fees payable to FS Real Estate Advisor.</w:t>
      </w:r>
    </w:p>
    <w:p>
      <w:pPr>
        <w:pStyle w:val="TextBody"/>
        <w:bidi w:val="0"/>
        <w:spacing w:lineRule="auto" w:line="276"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On December 1, 2022, the Company's method for reimbursing administrative services expense was replaced with an administrative services fee equal to 1.0% of the Company’s NAV per annum attributable to all shares of common stock, before giving effect to any accruals for the base management fee, the performance fee, the administrative services fee, the stockholder servicing fee or any distributions.</w:t>
      </w:r>
    </w:p>
    <w:p>
      <w:pPr>
        <w:pStyle w:val="TextBody"/>
        <w:bidi w:val="0"/>
        <w:spacing w:lineRule="auto" w:line="288"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(4)     During the six months ended June 30, 2026 and 2025, $0 and $219, respectively, in valuation fees were paid by the Company to Rialto.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Dealer Manager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dealer manager for the Company’s continuous public offering is FS Investment Solutions, LLC, "FS Investment Solutions", which is an affiliate of FS Real Estate Advisor. Under the amended and restated dealer manager agreement dated as of August 17, 2018, (the "Dealer Management Agreement"), FS Investment Solutions is entitled to receive upfront selling commissions of up to 3.0%, and upfront dealer manager fees of 0.5% of the transaction price of each Class T share sold in the primary offering, however such amounts may vary at certain participating broker-dealers provided that the sum will not exceed 3.5% of the transaction price (subject to reductions for certain categories of purchasers). FS Investment Solutions is entitled to receive upfront selling commissions of up to 3.5% of the transaction price per Class S share sold in the primary offering (subject to reductions for certain categories of purchasers). FS Investment Solutions anticipates that all of the selling commissions and dealer manager fees will be re-allowed to participating broker-dealers, unless a particular broker-dealer declines to accept some portion of the dealer manager fee they are otherwise eligible to receive. Pursuant to the Dealer Manager Agreement, the Company also reimburses FS Investment Solutions or participating broker-dealers for bona fide due diligence expenses, provided that total organization and offering expenses shall not exceed 15% of the gross proceeds in the Company's public offering.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selling commissions or dealer manager fees are payable on the sale of Class D, Class M, Class I, Class F or Class Y shares or on shares of any class sold pursuant to the Company's distribution reinvestment plan.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Subject to the limitations described below, the Company pays FS Investment Solutions stockholder servicing fees for ongoing services rendered to stockholders by participating broker-dealers or by broker-dealers servicing stockholders’ accounts, referred to as servicing broker-dealers:</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 respect to the Company's outstanding Class T shares equal to 0.85% per annum of the aggregate NAV of its outstanding Class T shares, consisting of an advisor stockholder servicing fee of 0.65% per annum and a dealer stockholder servicing fee of 0.20% per annum; however, with respect to Class T shares sold through certain participating broker-dealers, the advisor stockholder servicing fee and the dealer stockholder servicing fee may be other amounts, provided that the sum of such fees will always equal 0.85% per annum of the NAV of such shares;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 respect to the Company's outstanding Class S shares equal to 0.85% per annum of the aggregate NAV of its outstanding Class S shares;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 respect to the Company's outstanding Class D shares equal to 0.3% per annum of the aggregate NAV of its outstanding Class D shares;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the Company's outstanding Class M shares equal to 0.3% per annum of the aggregate NAV of its outstanding Class M shares.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does not pay a stockholder servicing fee with respect to its Class I, Class F or Class Y shares. FS Investment Solutions reallows some or all of the stockholder servicing fees to participating broker-dealers, servicing broker-dealers and financial institutions (including bank trust departments) for ongoing stockholder services performed by such broker-dealers, and waives (pays back to the Company) stockholder servicing fees to the extent a broker-dealer or financial institution is not eligible or otherwise declines to receive all or a portion of such fees.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will cease paying stockholder servicing fees with respect to any Class D, Class M, Class S and Class T shares held in a stockholder’s account at the end of the month in which the total underwriting compensation from the upfront selling commissions, dealer manager fees and stockholder servicing fees, as applicable, paid with respect to such account would exceed 1.25%, 7.25%, 8.75% and 8.75%, respectively (or a lower limit for shares sold by certain participating broker-dealers or financial institutions) of the gross proceeds from the sale of shares in such account. These amounts are referred to as the sales charge cap. At the end of such month that the sales charge cap is reached, each Class D, Class M, Class S or Class T share in such account will convert into a number of Class I shares (including any fractional shares) with an equivalent aggregate NAV as such share.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Company will cease paying stockholder servicing fees on each Class D share, Class M share, Class S share and Class T share held in a stockholder’s account and each such share will convert to Class I shares on the earlier to occur of the following: (i) a listing of Class I shares on a national securities exchange; (ii) the sale or other disposition of all or substantially all of the Company’s assets or the Company’s merger or consolidation with or into another entity in a transaction in which holders of Class D, Class M, Class S or Class T shares receive cash and/or shares of stock that are listed on a national securities exchange; or (iii) the date following the completion of the Company’s public offering on which, in the aggregate, underwriting compensation from all sources in connection with the Company’s public offering, including selling commissions, dealer manager fees, stockholder servicing fees and other underwriting compensation, is equal to 10% of the gross proceeds from its primary offering.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accrues future stockholder servicing fees in an amount equal to its best estimate of fees payable to FS Investment Solutions at the time such shares are sold. As of June 30, 2026 and December 31, 2025, the Company accrued $86,529 and $92,921, respectively, of stockholder servicing fees payable to FS Investment Solutions. FS Investment Solutions has entered into agreements with selected dealers distributing the Company's shares in the public offering, which provide, among other things, for the re-allowance of the full amount of the selling commissions and dealer manager fee and all or a portion of the stockholder servicing fees received by FS Investment Solutions to such selected dealers.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Investment Solutions also serves or served as the placement agent for the Company’s private offerings of Class I, Class F and Class Y shares pursuant to placement agreements. FS Investment Solutions does not receive any compensation pursuant to these agreements.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Limitation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an amended and restated expense limitation agreement with FS Real Estate Advisor and Rialto, (the "Expense Limitation Agreement"), pursuant to which FS Real Estate Advisor and Rialto have agreed to waive reimbursement of or pay, on a quarterly basis, the Company’s annualized ordinary operating expenses for such quarter to the extent such expenses exceed 1.5% per annum of its average net assets attributable to each of its classes of common stock. The Company will repay FS Real Estate Advisor or Rialto on a quarterly basis any ordinary operating expenses previously waived or paid, but only if the reimbursement would not cause the then-current expense limitation, if any, to be exceeded. In addition, the reimbursement of expenses will be made only if payable not more than three years from the end of the fiscal quarter in which the expenses were paid or waived.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Related Party Transactions (continued)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the extent that the conditions to recoupment are satisfied in a future quarter (prior to the expiration of the three-year period for reimbursement set forth in the expense limitation agreement), such expenses may be subject to conditional recoupment in accordance with the terms of the expense limitation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amounts paid or waived by FS Real Estate Advisor and Rialto under the Expense Limitation Agreement and the expiration date for future possible reimbursements by the Company:</w:t>
      </w:r>
    </w:p>
    <w:tbl>
      <w:tblPr>
        <w:tblW w:w="10205" w:type="dxa"/>
        <w:jc w:val="left"/>
        <w:tblInd w:w="0" w:type="dxa"/>
        <w:tblLayout w:type="fixed"/>
        <w:tblCellMar>
          <w:top w:w="28" w:type="dxa"/>
          <w:left w:w="28" w:type="dxa"/>
          <w:bottom w:w="28" w:type="dxa"/>
          <w:right w:w="28" w:type="dxa"/>
        </w:tblCellMar>
      </w:tblPr>
      <w:tblGrid>
        <w:gridCol w:w="589"/>
        <w:gridCol w:w="363"/>
        <w:gridCol w:w="364"/>
        <w:gridCol w:w="109"/>
        <w:gridCol w:w="109"/>
        <w:gridCol w:w="109"/>
        <w:gridCol w:w="405"/>
        <w:gridCol w:w="1187"/>
        <w:gridCol w:w="211"/>
        <w:gridCol w:w="109"/>
        <w:gridCol w:w="109"/>
        <w:gridCol w:w="109"/>
        <w:gridCol w:w="335"/>
        <w:gridCol w:w="741"/>
        <w:gridCol w:w="174"/>
        <w:gridCol w:w="109"/>
        <w:gridCol w:w="109"/>
        <w:gridCol w:w="109"/>
        <w:gridCol w:w="443"/>
        <w:gridCol w:w="979"/>
        <w:gridCol w:w="230"/>
        <w:gridCol w:w="109"/>
        <w:gridCol w:w="109"/>
        <w:gridCol w:w="109"/>
        <w:gridCol w:w="276"/>
        <w:gridCol w:w="532"/>
        <w:gridCol w:w="143"/>
        <w:gridCol w:w="109"/>
        <w:gridCol w:w="109"/>
        <w:gridCol w:w="109"/>
        <w:gridCol w:w="465"/>
        <w:gridCol w:w="465"/>
        <w:gridCol w:w="668"/>
      </w:tblGrid>
      <w:tr>
        <w:trPr/>
        <w:tc>
          <w:tcPr>
            <w:tcW w:w="58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Expense Reimbursement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Recoupable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Recoupment paid or payable to sponsor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Recoupment eligibility expiration</w:t>
            </w:r>
          </w:p>
        </w:tc>
      </w:tr>
      <w:tr>
        <w:trPr/>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2029</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2029</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2028</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2028</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2028</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2028</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Capital Contributions and Commitments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2016, pursuant to a private placement, Michael C. Forman and David J. Adelman, principals of Future Standard, contributed an aggregate of $200 to purchase 8,000 Class F shares at the price of $25.00 per share. These individuals will not tender these shares of common stock for repurchase as long as FS Real Estate Advisor remains the Company's adviser. Future Standard is controlled by Mr. Forman, the Company's president and chief executive officer, and Mr. Adelman.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ownership in the Company's Class F Shares by FS Real Estate Advisor and Rialto (and each of their respective affiliates and designees) was $14,529 and $125, respectively.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RIAL 2022-FL8 Transaction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2023 and 2022, the Company purchased $15,000 and $36,000, respectively, of mortgage-backed securities in a transaction in which an affiliate of Rialto is the issuer of the notes. These securities were accounted for as available-for-sale. As of December 31, 2025 all positions previously held by the Company had fully paid down.</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Stockholders' Equity</w:t>
      </w:r>
    </w:p>
    <w:p>
      <w:pPr>
        <w:pStyle w:val="TextBody"/>
        <w:bidi w:val="0"/>
        <w:spacing w:before="0" w:after="0"/>
        <w:jc w:val="left"/>
        <w:rPr/>
      </w:pPr>
      <w:r>
        <w:rPr/>
      </w:r>
    </w:p>
    <w:p>
      <w:pPr>
        <w:pStyle w:val="TextBody"/>
        <w:bidi w:val="0"/>
        <w:spacing w:lineRule="auto" w:line="288" w:before="18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is a summary of transactions with respect to shares of the Company's common stock during the six months ended June 30, 2026 and 2025:</w:t>
      </w:r>
    </w:p>
    <w:tbl>
      <w:tblPr>
        <w:tblW w:w="11637" w:type="dxa"/>
        <w:jc w:val="left"/>
        <w:tblInd w:w="0" w:type="dxa"/>
        <w:tblLayout w:type="fixed"/>
        <w:tblCellMar>
          <w:top w:w="28" w:type="dxa"/>
          <w:left w:w="28" w:type="dxa"/>
          <w:bottom w:w="28" w:type="dxa"/>
          <w:right w:w="28" w:type="dxa"/>
        </w:tblCellMar>
      </w:tblPr>
      <w:tblGrid>
        <w:gridCol w:w="544"/>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556"/>
        <w:gridCol w:w="109"/>
        <w:gridCol w:w="109"/>
        <w:gridCol w:w="109"/>
        <w:gridCol w:w="109"/>
        <w:gridCol w:w="202"/>
        <w:gridCol w:w="669"/>
        <w:gridCol w:w="109"/>
        <w:gridCol w:w="109"/>
        <w:gridCol w:w="109"/>
        <w:gridCol w:w="109"/>
        <w:gridCol w:w="196"/>
        <w:gridCol w:w="871"/>
        <w:gridCol w:w="109"/>
        <w:gridCol w:w="109"/>
        <w:gridCol w:w="109"/>
        <w:gridCol w:w="109"/>
        <w:gridCol w:w="196"/>
        <w:gridCol w:w="87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67,157,395 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123,231,011 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(5,405,896)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(10,472,702)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49,312,173 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121,759,619 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stockholder servicing fees</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2,855,194 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88" w:type="dxa"/>
        <w:jc w:val="left"/>
        <w:tblInd w:w="0" w:type="dxa"/>
        <w:tblLayout w:type="fixed"/>
        <w:tblCellMar>
          <w:top w:w="28" w:type="dxa"/>
          <w:left w:w="28" w:type="dxa"/>
          <w:bottom w:w="28" w:type="dxa"/>
          <w:right w:w="28" w:type="dxa"/>
        </w:tblCellMar>
      </w:tblPr>
      <w:tblGrid>
        <w:gridCol w:w="544"/>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120,486,866 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(5,679,558)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(12,419,312)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64,701,459 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48,125,931 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119,351,012 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in or out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stockholder servicing fees</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2,803,687 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Stockholder servicing fees only apply to Class T, Class S, Class D and Class M shares. Under GAAP, the Company accrues future stockholder servicing fees in an amount equal to its best estimate of fees payable to FS Investment Solutions at the time such shares are sold. For purposes of NAV, the Company recognizes the stockholder servicing fee as a reduction of NAV on a monthly basis. As a result, the estimated liability for the future stockholder servicing fees, which are accrued at the time each share is sold, will have no effect on the NAV of any class.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Plan</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 xml:space="preserve">The Company has adopted an amended and restated share repurchase plan, (the "Share Repurchase Plan"), whereby on a monthly basis, stockholders may request that the Company repurchase all or any portion of their shares. The repurchase of shares is limited to no more than 2% of the Company's aggregate NAV per month of all classes of shares then participating in the Share Repurchase Plan and no more than 5% of the Company's aggregate NAV per calendar quarter of all classes of shares then participating in the Share Repurchase Plan, which means that in any 12-month period, the Company limits repurchases to approximately 20% of the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Stockholders' Equity (continued)</w:t>
      </w:r>
    </w:p>
    <w:p>
      <w:pPr>
        <w:pStyle w:val="TextBody"/>
        <w:bidi w:val="0"/>
        <w:spacing w:lineRule="auto" w:line="288" w:before="120" w:after="120"/>
        <w:jc w:val="left"/>
        <w:rPr/>
      </w:pPr>
      <w:r>
        <w:rPr>
          <w:rFonts w:ascii="Times New Roman;serif" w:hAnsi="Times New Roman;serif"/>
          <w:b w:val="false"/>
          <w:color w:val="231F20"/>
          <w:sz w:val="20"/>
        </w:rPr>
        <w:t xml:space="preserve">total NAV of all classes of shares then participating in the Share Repurchase Plan. The Company's board of directors may modify, suspend or terminate the Share Repurchase Plan if it deems such action to be in the Company's best interest and the best interest of its stockholders. During the six months ended June 30, 2026 and 2025, the Company repurchased 10,472,702 and </w:t>
      </w:r>
      <w:r>
        <w:rPr>
          <w:rFonts w:ascii="Times New Roman;serif" w:hAnsi="Times New Roman;serif"/>
          <w:b w:val="false"/>
          <w:color w:val="000000"/>
          <w:sz w:val="20"/>
        </w:rPr>
        <w:t>12,419,312</w:t>
      </w:r>
      <w:r>
        <w:rPr>
          <w:rFonts w:ascii="Times New Roman;serif" w:hAnsi="Times New Roman;serif"/>
          <w:b w:val="false"/>
          <w:color w:val="231F20"/>
          <w:sz w:val="20"/>
        </w:rPr>
        <w:t xml:space="preserve">, respectively, shares of common stock under its Share Repurchase Plan representing a total of $255,648 and </w:t>
      </w:r>
      <w:r>
        <w:rPr>
          <w:rFonts w:ascii="Times New Roman;serif" w:hAnsi="Times New Roman;serif"/>
          <w:b w:val="false"/>
          <w:color w:val="000000"/>
          <w:sz w:val="20"/>
        </w:rPr>
        <w:t>$305,583</w:t>
      </w:r>
      <w:r>
        <w:rPr>
          <w:rFonts w:ascii="Times New Roman;serif" w:hAnsi="Times New Roman;serif"/>
          <w:b w:val="false"/>
          <w:color w:val="231F20"/>
          <w:sz w:val="20"/>
        </w:rPr>
        <w:t>, respectively. In March 2026, the Company received repurchase requests equal to 2.10%, of its aggregate NAV of all classes of shares then participating in its Share Repurchase Plan as of the last calendar day of the previous calendar month. Further, the cumulative repurchase requests for the first quarter of 2026 did not exceed 5% of the Company's aggregate NAV of all classes of shares then participating in its Share Repurchase Plan as of the last calendar day of the previous calendar quarter. The Company's board of directors, including all of its independent directors, unanimously authorized repurchases in excess of its 2% monthly repurchase limitation for March 2026 such that 100% of share repurchase requests timely received in March 2026 and the first quarter of 2026 were satisfied. The Company had no unfulfilled repurchase requests during the six months ended June 30, 2026 or 2025, respectively.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 Reinvestment Plan</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Pursuant to the Company's distribution reinvestment plan, holders of shares of any class of the Company's common stock may elect to have their cash distributions reinvested in additional shares of the Company's common stock. The purchase price for shares pursuant to the distribution reinvestment plan will be equal to the transaction price for such shares at the time the distribution is payable.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The Company generally intends to distribute substantially all of its taxable income, which does not necessarily equal net income as calculated in accordance with </w:t>
      </w:r>
      <w:r>
        <w:rPr>
          <w:rFonts w:ascii="Times New Roman;serif" w:hAnsi="Times New Roman;serif"/>
          <w:b w:val="false"/>
          <w:color w:val="231F20"/>
          <w:sz w:val="20"/>
        </w:rPr>
        <w:t>GAAP</w:t>
      </w:r>
      <w:r>
        <w:rPr>
          <w:rFonts w:ascii="Times New Roman;serif" w:hAnsi="Times New Roman;serif"/>
          <w:b w:val="false"/>
          <w:color w:val="000000"/>
          <w:sz w:val="20"/>
        </w:rPr>
        <w:t>, to its stockholders each year to comply with the REIT provisions of the Code. Dividends are paid first to the holders of the Company's Series A preferred stock at the rate of 12.0% per annum plus all accumulated and unpaid dividends thereon, and then to the holders of the Company's common stock. All distributions will be made at the discretion of the Company's board of directors and will depend upon its taxable income, financial condition, maintenance of REIT status, applicable law, and other factors that the Company's board of directors deems relevant.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cash distributions per share that the Company paid on its common stock during the six months ended June 30, 2026:</w:t>
      </w:r>
    </w:p>
    <w:tbl>
      <w:tblPr>
        <w:tblW w:w="10462" w:type="dxa"/>
        <w:jc w:val="center"/>
        <w:tblInd w:w="0" w:type="dxa"/>
        <w:tblLayout w:type="fixed"/>
        <w:tblCellMar>
          <w:top w:w="28" w:type="dxa"/>
          <w:left w:w="28" w:type="dxa"/>
          <w:bottom w:w="28" w:type="dxa"/>
          <w:right w:w="28" w:type="dxa"/>
        </w:tblCellMar>
      </w:tblPr>
      <w:tblGrid>
        <w:gridCol w:w="410"/>
        <w:gridCol w:w="215"/>
        <w:gridCol w:w="21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amount of cash distributions that the Company paid on its common stock during the three and six months ended June 30, 2026, and 2025:</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Stockholders' Equity (continued)</w:t>
      </w:r>
    </w:p>
    <w:tbl>
      <w:tblPr>
        <w:tblW w:w="10205" w:type="dxa"/>
        <w:jc w:val="left"/>
        <w:tblInd w:w="0" w:type="dxa"/>
        <w:tblLayout w:type="fixed"/>
        <w:tblCellMar>
          <w:top w:w="28" w:type="dxa"/>
          <w:left w:w="28" w:type="dxa"/>
          <w:bottom w:w="28" w:type="dxa"/>
          <w:right w:w="28" w:type="dxa"/>
        </w:tblCellMar>
      </w:tblPr>
      <w:tblGrid>
        <w:gridCol w:w="1544"/>
        <w:gridCol w:w="1359"/>
        <w:gridCol w:w="1366"/>
        <w:gridCol w:w="109"/>
        <w:gridCol w:w="109"/>
        <w:gridCol w:w="109"/>
        <w:gridCol w:w="229"/>
        <w:gridCol w:w="783"/>
        <w:gridCol w:w="117"/>
        <w:gridCol w:w="117"/>
        <w:gridCol w:w="117"/>
        <w:gridCol w:w="117"/>
        <w:gridCol w:w="229"/>
        <w:gridCol w:w="783"/>
        <w:gridCol w:w="117"/>
        <w:gridCol w:w="109"/>
        <w:gridCol w:w="109"/>
        <w:gridCol w:w="109"/>
        <w:gridCol w:w="211"/>
        <w:gridCol w:w="826"/>
        <w:gridCol w:w="109"/>
        <w:gridCol w:w="109"/>
        <w:gridCol w:w="109"/>
        <w:gridCol w:w="109"/>
        <w:gridCol w:w="211"/>
        <w:gridCol w:w="826"/>
        <w:gridCol w:w="163"/>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or payable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Reinvested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flows from operating activities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sources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58,763 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48,336 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87,430 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120" w:after="120"/>
        <w:ind w:left="0" w:right="0" w:hanging="540"/>
        <w:jc w:val="left"/>
        <w:rPr/>
      </w:pPr>
      <w:r>
        <w:rPr>
          <w:rFonts w:ascii="Times New Roman;serif" w:hAnsi="Times New Roman;serif"/>
          <w:b w:val="false"/>
          <w:color w:val="000000"/>
          <w:sz w:val="18"/>
        </w:rPr>
        <w:t>(1)    </w:t>
      </w:r>
      <w:r>
        <w:rPr>
          <w:rFonts w:ascii="Times New Roman;serif" w:hAnsi="Times New Roman;serif"/>
          <w:b w:val="false"/>
          <w:color w:val="000000"/>
          <w:sz w:val="20"/>
        </w:rPr>
        <w:t>As of June 30, 2026, the Company's inception to date cash flows from operating activities have funded 100% of its distributions.</w:t>
      </w:r>
      <w:r>
        <w:rPr>
          <w:color w:val="000000"/>
        </w:rPr>
        <w:t xml:space="preserve"> </w:t>
      </w:r>
    </w:p>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currently declares and pays regular cash distributions on a monthly basis. The Company’s board of directors previously authorized regular monthly cash distributions for July 2026 for each class of its outstanding common stock in the net distribution amounts per share set forth below:</w:t>
      </w:r>
    </w:p>
    <w:tbl>
      <w:tblPr>
        <w:tblW w:w="9527" w:type="dxa"/>
        <w:jc w:val="center"/>
        <w:tblInd w:w="0" w:type="dxa"/>
        <w:tblLayout w:type="fixed"/>
        <w:tblCellMar>
          <w:top w:w="28" w:type="dxa"/>
          <w:left w:w="28" w:type="dxa"/>
          <w:bottom w:w="28" w:type="dxa"/>
          <w:right w:w="28" w:type="dxa"/>
        </w:tblCellMar>
      </w:tblPr>
      <w:tblGrid>
        <w:gridCol w:w="124"/>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253" w:type="dxa"/>
            <w:gridSpan w:val="3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I</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distributions for each class of outstanding common stock have been or will be paid monthly to stockholders of record as of the monthly record dates previously determined by the Company's board of directors. These distributions have been or will be paid in cash or reinvested in shares of the Company’s common stock for stockholders participating in the Company’s distribution reinvestment plan.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Earnings per Share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net income (loss) and weighted average shares outstanding for the three and six months ended June 30, 2026 and 2025 consist of the following: </w:t>
      </w:r>
    </w:p>
    <w:tbl>
      <w:tblPr>
        <w:tblW w:w="10205" w:type="dxa"/>
        <w:jc w:val="left"/>
        <w:tblInd w:w="0" w:type="dxa"/>
        <w:tblLayout w:type="fixed"/>
        <w:tblCellMar>
          <w:top w:w="28" w:type="dxa"/>
          <w:left w:w="28" w:type="dxa"/>
          <w:bottom w:w="28" w:type="dxa"/>
          <w:right w:w="28" w:type="dxa"/>
        </w:tblCellMar>
      </w:tblPr>
      <w:tblGrid>
        <w:gridCol w:w="1356"/>
        <w:gridCol w:w="1139"/>
        <w:gridCol w:w="1145"/>
        <w:gridCol w:w="109"/>
        <w:gridCol w:w="109"/>
        <w:gridCol w:w="109"/>
        <w:gridCol w:w="268"/>
        <w:gridCol w:w="918"/>
        <w:gridCol w:w="114"/>
        <w:gridCol w:w="114"/>
        <w:gridCol w:w="114"/>
        <w:gridCol w:w="114"/>
        <w:gridCol w:w="268"/>
        <w:gridCol w:w="918"/>
        <w:gridCol w:w="114"/>
        <w:gridCol w:w="109"/>
        <w:gridCol w:w="109"/>
        <w:gridCol w:w="109"/>
        <w:gridCol w:w="268"/>
        <w:gridCol w:w="918"/>
        <w:gridCol w:w="109"/>
        <w:gridCol w:w="109"/>
        <w:gridCol w:w="109"/>
        <w:gridCol w:w="109"/>
        <w:gridCol w:w="268"/>
        <w:gridCol w:w="918"/>
        <w:gridCol w:w="161"/>
      </w:tblGrid>
      <w:tr>
        <w:trPr/>
        <w:tc>
          <w:tcPr>
            <w:tcW w:w="135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FS Credit Real Estate Income Trust,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122,701,902 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119,976,846 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121,239,780 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common stock outstanding - diluted</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126,325,835 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122,396,378 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127,039,129 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123,492,967 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0"/>
        <w:ind w:left="0" w:right="0" w:hanging="540"/>
        <w:jc w:val="left"/>
        <w:rPr/>
      </w:pPr>
      <w:r>
        <w:rPr>
          <w:rFonts w:ascii="Times New Roman;serif" w:hAnsi="Times New Roman;serif"/>
          <w:b w:val="false"/>
          <w:color w:val="000000"/>
          <w:sz w:val="18"/>
        </w:rPr>
        <w:t>(1)    The outstanding shares used to calculate the weighted average basic shares outstanding exclude 3,801,347 and 2,679,068 of restricted stock units awarded as of June 30, 2026 and 2025, respectively, as those shares were issued but were not vested and therefore, not considered outstanding for purposes of computing basic net income per share of common stock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Fair Value of Financial Instruments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and liabilities carried at fair value in the consolidated balance sheets by its level in the fair value hierarchy:</w:t>
      </w:r>
    </w:p>
    <w:tbl>
      <w:tblPr>
        <w:tblW w:w="12505" w:type="dxa"/>
        <w:jc w:val="left"/>
        <w:tblInd w:w="0" w:type="dxa"/>
        <w:tblLayout w:type="fixed"/>
        <w:tblCellMar>
          <w:top w:w="28" w:type="dxa"/>
          <w:left w:w="28" w:type="dxa"/>
          <w:bottom w:w="28" w:type="dxa"/>
          <w:right w:w="28" w:type="dxa"/>
        </w:tblCellMar>
      </w:tblPr>
      <w:tblGrid>
        <w:gridCol w:w="494"/>
        <w:gridCol w:w="434"/>
        <w:gridCol w:w="438"/>
        <w:gridCol w:w="109"/>
        <w:gridCol w:w="109"/>
        <w:gridCol w:w="109"/>
        <w:gridCol w:w="196"/>
        <w:gridCol w:w="871"/>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in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obligations issued by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fair value of financial assets which are measured at fair value on a recurring basis using Level 3 inputs to determine fair value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092"/>
        <w:gridCol w:w="1708"/>
        <w:gridCol w:w="1715"/>
        <w:gridCol w:w="109"/>
        <w:gridCol w:w="109"/>
        <w:gridCol w:w="109"/>
        <w:gridCol w:w="310"/>
        <w:gridCol w:w="1436"/>
        <w:gridCol w:w="160"/>
        <w:gridCol w:w="160"/>
        <w:gridCol w:w="160"/>
        <w:gridCol w:w="160"/>
        <w:gridCol w:w="310"/>
        <w:gridCol w:w="1436"/>
        <w:gridCol w:w="231"/>
      </w:tblGrid>
      <w:tr>
        <w:trPr/>
        <w:tc>
          <w:tcPr>
            <w:tcW w:w="209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Mortgage loans held in securitization trusts, at fair value</w:t>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1,633,589 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(amortization of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gain (loss) in earnings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into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 of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of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532,214 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2,246,442 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unrealized gains (losses) attributable to assets still held at the reporting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For the six months ended June 30, 2026 and 2025, unrealized loss of $23,058 and a gain of $18,282, respectively, related to mortgage loans held in securitization trusts, at fair value was offset by unrealized loss of $22,548 and $17,304 related to mortgage obligations issued by securitization trusts, at fair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utilized a discounted cash flow model, comparable precedent transactions and other market information to quantify Level 3 fair value measurements on a recurring basis. As of June 30, 2026, the key unobservable inputs used in the valuation of mortgage obligations issued by securitization trusts included a blended yield ranging from 8.86% to 12.89% (weighted average blended yield of 10.69%) and a life of 0.75 to 4.1 years (weighted average life of 2.92 years). Significant increases or decreases in any one of the inputs described above in isolation may result in significantly different fair value of the financial assets and liabilities using such Level 3 inputs.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Fair Value of Financial Instruments (continued)</w: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discussed in Note 2 herein, GAAP requires disclosure of fair value information about financial instruments, whether or not recognized in the consolidated balance sheets, for which it is practicable to estimate that value. The following table details the carrying amount, face amount, and fair value of the financial instruments described in Note 2:</w:t>
      </w:r>
    </w:p>
    <w:tbl>
      <w:tblPr>
        <w:tblW w:w="10729" w:type="dxa"/>
        <w:jc w:val="center"/>
        <w:tblInd w:w="0" w:type="dxa"/>
        <w:tblLayout w:type="fixed"/>
        <w:tblCellMar>
          <w:top w:w="28" w:type="dxa"/>
          <w:left w:w="28" w:type="dxa"/>
          <w:bottom w:w="28" w:type="dxa"/>
          <w:right w:w="28" w:type="dxa"/>
        </w:tblCellMar>
      </w:tblPr>
      <w:tblGrid>
        <w:gridCol w:w="1114"/>
        <w:gridCol w:w="288"/>
        <w:gridCol w:w="264"/>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 receivable - held-for-investment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 agreements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Credit facilities</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Collateralized loan obligations</w:t>
            </w:r>
            <w:r>
              <w:rPr>
                <w:rFonts w:ascii="Times New Roman;serif" w:hAnsi="Times New Roman;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Mortgage note payable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Book value of loans receivable represents the face amount, net of CECL reserve, unamortized loan fees and costs and accrual of exit fees, as applicable.</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Book value represents the face amount, net of deferred financing costs and discount.</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(3)    Face value represents the face amount, net of discount.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Estimates of fair value for cash, cash equivalents and restricted cash are measured using observable, quoted market prices, or Level 1 inputs. Estimates of fair value for loans receivable, mortgage-backed securities held-to-maturity, repurchase obligations, credit facility obligations and the collateralized loan and mortgage obligations are measured using unobservable inputs, or Level 3 inputs.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CMBS, Fair Value Option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discussed in Note 2, the Company elected the fair value option for certain CMBS mortgage loans in an effort to eliminate an accounting mismatch resulting from consolidation of the related mortgage loans held in securitization trusts. As of June 30, 2026, the fair value and unpaid principal balance of these CMBS mortgage loans, excluding the notional value of interest-only securities and before consolidation of the securitization mortgage loans, were $140,893 and $143,200, respectively. As a result of the consolidation of the mortgage loans, the total fair value balance of $1,754,665 represents the Company's economic interest in the asset. The vast majority of this fair value (all except $140,893 at June 30, 2026) is eliminated in consolidation of the related mortgage obligations before arriving at the GAAP balance for the fair value option investment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Variable Interest Entities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Consolidated Variable Interest Entities</w:t>
      </w:r>
    </w:p>
    <w:p>
      <w:pPr>
        <w:pStyle w:val="TextBody"/>
        <w:bidi w:val="0"/>
        <w:spacing w:lineRule="auto" w:line="288" w:before="0" w:after="120"/>
        <w:ind w:left="0" w:right="0" w:firstLine="450"/>
        <w:jc w:val="left"/>
        <w:rPr/>
      </w:pPr>
      <w:r>
        <w:rPr>
          <w:rFonts w:ascii="Times New Roman;serif" w:hAnsi="Times New Roman;serif"/>
          <w:b w:val="false"/>
          <w:color w:val="231F20"/>
          <w:sz w:val="20"/>
        </w:rPr>
        <w:t xml:space="preserve">The following table details the assets and liabilities of the Company's consolidated variable interest entities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December 31, 2025</w:t>
      </w:r>
      <w:r>
        <w:rPr>
          <w:rFonts w:ascii="Times New Roman;serif" w:hAnsi="Times New Roman;serif"/>
          <w:b w:val="false"/>
          <w:color w:val="231F20"/>
          <w:sz w:val="20"/>
        </w:rPr>
        <w:t>:</w:t>
      </w:r>
    </w:p>
    <w:tbl>
      <w:tblPr>
        <w:tblW w:w="10205" w:type="dxa"/>
        <w:jc w:val="left"/>
        <w:tblInd w:w="0" w:type="dxa"/>
        <w:tblLayout w:type="fixed"/>
        <w:tblCellMar>
          <w:top w:w="28" w:type="dxa"/>
          <w:left w:w="28" w:type="dxa"/>
          <w:bottom w:w="28" w:type="dxa"/>
          <w:right w:w="28" w:type="dxa"/>
        </w:tblCellMar>
      </w:tblPr>
      <w:tblGrid>
        <w:gridCol w:w="1909"/>
        <w:gridCol w:w="1679"/>
        <w:gridCol w:w="1698"/>
        <w:gridCol w:w="109"/>
        <w:gridCol w:w="109"/>
        <w:gridCol w:w="109"/>
        <w:gridCol w:w="372"/>
        <w:gridCol w:w="1721"/>
        <w:gridCol w:w="191"/>
        <w:gridCol w:w="109"/>
        <w:gridCol w:w="109"/>
        <w:gridCol w:w="109"/>
        <w:gridCol w:w="279"/>
        <w:gridCol w:w="1291"/>
        <w:gridCol w:w="144"/>
        <w:gridCol w:w="109"/>
        <w:gridCol w:w="158"/>
      </w:tblGrid>
      <w:tr>
        <w:trPr/>
        <w:tc>
          <w:tcPr>
            <w:tcW w:w="19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3,881,049 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2,888,971 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in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1,754,665 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5,763,975 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5,709,015 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2,510,160 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obligations issued by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4,938,775 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4,924,443 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Inclusive of multiple line items broken out on the consolidated balance sheets, such as receivable for investments sold and repaid and investment in real estate, held-for-investment.</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 xml:space="preserve">The Company has financed a portion of its loans through CLOs, which are considered VIEs. The Company has a controlling financial interest in the CLOs and, therefore, consolidates them on its balance sheets because the Company has both (i) the power to direct activities of the CLOs that most significantly affect the CLOs' economic performance and (ii) the obligation to absorb losses and the right to receive benefits of the CLOs that could potentially be significant to the CLOs. </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Assets held by the CLOs are restricted and can be used only to settle obligations of the CLOs. The liabilities are non-recourse to the Company and can only be satisfied from the assets of the CLOs.</w:t>
      </w:r>
    </w:p>
    <w:p>
      <w:pPr>
        <w:pStyle w:val="TextBody"/>
        <w:bidi w:val="0"/>
        <w:spacing w:lineRule="auto" w:line="288" w:before="120" w:after="120"/>
        <w:jc w:val="left"/>
        <w:rPr>
          <w:rFonts w:ascii="Times New Roman;serif" w:hAnsi="Times New Roman;serif"/>
          <w:b w:val="false"/>
          <w:i/>
          <w:color w:val="231F20"/>
          <w:sz w:val="20"/>
        </w:rPr>
      </w:pPr>
      <w:r>
        <w:rPr>
          <w:rFonts w:ascii="Times New Roman;serif" w:hAnsi="Times New Roman;serif"/>
          <w:b w:val="false"/>
          <w:i/>
          <w:color w:val="231F20"/>
          <w:sz w:val="20"/>
        </w:rPr>
        <w:t>Investment Securities</w:t>
      </w:r>
    </w:p>
    <w:p>
      <w:pPr>
        <w:pStyle w:val="TextBody"/>
        <w:bidi w:val="0"/>
        <w:spacing w:lineRule="auto" w:line="288" w:before="0" w:after="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Mortgage loans and obligations held in securitization trusts consolidated in accordance with ASC 810 are structured as pass through entities that receive principal and interest on the underlying collateral and distribute those payments to the certificate holders. The assets and other instruments held by these securitization entities are restricted and can only be used to fulfill the obligations of the entity. Additionally, the obligations of the securitization entities do not have any recourse to the general credit of any other consolidated entities, nor to the Company as the primary beneficiary. The mortgage obligations initially represent investment securities on the balance sheets (pre-consolidation). Upon consolidation of the mortgage loans and obligations, the associated investment securities are eliminated, as is the interest income related to those securities.</w:t>
      </w:r>
    </w:p>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inclusion of the assets and liabilities of the mortgage loans and obligations in which the Company is deemed the primary beneficiary has no economic effect on the Company. Its exposure to the obligations of mortgage loans and obligations held in securitization is generally limited to its investment in these entities. The Company is not obligated to provide, nor has provided, any financial support for any of these consolidated structures.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Non-Consolidated Variable Interest Entities</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 xml:space="preserve">The Company invested in subordinated positions of CMBS trusts which are considered mortgage loans and obligations held in securitization trusts. The Company is not the primary beneficiary of the mortgage loans and obligations because it does not have the power to direct the activities that most significantly affect the mortgage loans and obligations' economic performance, nor does it provide guarantees or recourse to the mortgage loans and obligations other than standard representations and warranties and, therefore, </w:t>
      </w: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Variable Interest Entities (continued)</w:t>
      </w:r>
    </w:p>
    <w:p>
      <w:pPr>
        <w:pStyle w:val="TextBody"/>
        <w:bidi w:val="0"/>
        <w:spacing w:lineRule="auto" w:line="288" w:before="120" w:after="120"/>
        <w:jc w:val="left"/>
        <w:rPr/>
      </w:pPr>
      <w:r>
        <w:rPr>
          <w:rFonts w:ascii="Times New Roman;serif" w:hAnsi="Times New Roman;serif"/>
          <w:b w:val="false"/>
          <w:color w:val="231F20"/>
          <w:sz w:val="20"/>
        </w:rPr>
        <w:t>does not consolidate the mortgage loans and obligations on its balance sheets. The Company has classified its investment in the CMBS as either held-to-maturity or available-for-sale debt securities that are included on the Company's consolidated balance sheets and are part of the Company's ongoing impairment review. The Company's maximum exposure to loss of the securities is limited to its book value of $</w:t>
      </w:r>
      <w:r>
        <w:rPr>
          <w:rFonts w:ascii="Times New Roman;serif" w:hAnsi="Times New Roman;serif"/>
          <w:b w:val="false"/>
          <w:color w:val="000000"/>
          <w:sz w:val="20"/>
        </w:rPr>
        <w:t>219,212</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is not obligated to provide, nor has it provided financial support to these consolidated and non-consolidated mortgage loans and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enters into contracts that contain a variety of indemnification provisions. The Company’s maximum exposure under these arrangements is unknown; however, the Company has not had prior claims or losses pursuant to these contracts. Management of FS Real Estate Advisor has reviewed the Company’s existing contracts and expects the risk of loss to the Company to be remote.</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Company is not currently subject to any material legal proceedings and, to the Company’s knowledge, no material legal proceedings are threatened against the Company. From time to time, the Company may be party to certain legal proceedings in the ordinary course of business. While the outcome of any legal proceedings cannot be predicted with certainty, the Company does not expect that any such proceedings will have a material effect on its financial condition or results of operations.</w:t>
      </w:r>
    </w:p>
    <w:p>
      <w:pPr>
        <w:pStyle w:val="TextBody"/>
        <w:bidi w:val="0"/>
        <w:spacing w:lineRule="auto" w:line="288" w:before="120" w:after="12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See Note 7 for a discussion of the Company’s commitments to FS Real Estate Advisor and its affiliates (including Future Standard) for the reimbursement of organization and offering costs funded by Future Standard and for the reimbursement of amounts paid or waived by FS Real Estate Advisor and Rialto under the Expense Limitation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12. Derivative Instrument</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 interest rate cap contract in order to limit its exposure against the variability of future interest rates on its variable interest rate borrowing. The Company has not designated this derivative as a hedge for accounting purposes. The Company has not entered into a master netting arrangement with its third-party counterparty and does not offset on its consolidated balance sheets the fair value amount recorded for its derivative instrument. The table below provides additional information regarding the Company's derivative instrument as of June 30, 2026.</w:t>
      </w:r>
    </w:p>
    <w:tbl>
      <w:tblPr>
        <w:tblW w:w="9746"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287"/>
        <w:gridCol w:w="1125"/>
        <w:gridCol w:w="148"/>
        <w:gridCol w:w="109"/>
        <w:gridCol w:w="109"/>
        <w:gridCol w:w="109"/>
        <w:gridCol w:w="255"/>
        <w:gridCol w:w="256"/>
        <w:gridCol w:w="342"/>
        <w:gridCol w:w="109"/>
        <w:gridCol w:w="109"/>
        <w:gridCol w:w="109"/>
        <w:gridCol w:w="429"/>
        <w:gridCol w:w="429"/>
        <w:gridCol w:w="431"/>
        <w:gridCol w:w="109"/>
        <w:gridCol w:w="109"/>
        <w:gridCol w:w="109"/>
        <w:gridCol w:w="489"/>
        <w:gridCol w:w="489"/>
        <w:gridCol w:w="491"/>
        <w:gridCol w:w="109"/>
        <w:gridCol w:w="109"/>
        <w:gridCol w:w="109"/>
        <w:gridCol w:w="312"/>
        <w:gridCol w:w="690"/>
        <w:gridCol w:w="228"/>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Strike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Maturity Date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w:t>
            </w:r>
            <w:r>
              <w:rPr>
                <w:rFonts w:ascii="Times New Roman;serif" w:hAnsi="Times New Roman;serif"/>
                <w:b/>
                <w:color w:val="000000"/>
                <w:sz w:val="13"/>
              </w:rPr>
              <w:t>(1)</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Included in Other assets in the Company's consolidated balance sheets.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In July 2026, the Company purchased a new interest rate cap which will mature on July 9, 2027.</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change in fair value of the Company's derivative financial instrument:</w:t>
      </w:r>
    </w:p>
    <w:tbl>
      <w:tblPr>
        <w:tblW w:w="10205"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530"/>
        <w:gridCol w:w="530"/>
        <w:gridCol w:w="532"/>
        <w:gridCol w:w="109"/>
        <w:gridCol w:w="109"/>
        <w:gridCol w:w="109"/>
        <w:gridCol w:w="644"/>
        <w:gridCol w:w="644"/>
        <w:gridCol w:w="646"/>
        <w:gridCol w:w="109"/>
        <w:gridCol w:w="109"/>
        <w:gridCol w:w="109"/>
        <w:gridCol w:w="217"/>
        <w:gridCol w:w="509"/>
        <w:gridCol w:w="120"/>
        <w:gridCol w:w="120"/>
        <w:gridCol w:w="120"/>
        <w:gridCol w:w="120"/>
        <w:gridCol w:w="217"/>
        <w:gridCol w:w="509"/>
        <w:gridCol w:w="120"/>
        <w:gridCol w:w="109"/>
        <w:gridCol w:w="109"/>
        <w:gridCol w:w="109"/>
        <w:gridCol w:w="200"/>
        <w:gridCol w:w="466"/>
        <w:gridCol w:w="111"/>
        <w:gridCol w:w="111"/>
        <w:gridCol w:w="111"/>
        <w:gridCol w:w="111"/>
        <w:gridCol w:w="200"/>
        <w:gridCol w:w="605"/>
        <w:gridCol w:w="173"/>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Realized/Unrealized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(Loss) Recognized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FS Credit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13. Segment Reporting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derives its revenues from its investment portfolio of commercial real estate debt investments. Additionally, the Company may foreclose on certain of the loans it originates and operate the property as real estate owned, the performance of which is evaluated with that of its commercial real estate debt investments. The Company’s investment portfolio is managed as a whole and resources are allocated and financial performance is assessed based on consolidated net income reported on the consolidated statement of operations by the Company’s Chief Executive Officer and the Global Head of Real Estate of the adviser, who are collectively the Company’s chief operating decision maker (“CODM”). Accordingly, the Company consists of a single operating and reportable segment.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the Company’s operations comprise of a single reporting segment, the segment assets are reflected on the accompanying consolidated balance sheets as “total assets” and the significant segment expenses are listed on the accompanying consolidated statements of operations. The accounting policies of the Company's single reportable segment are consistent with those described in Note 2 included in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14. Subsequent Events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discussion of material events that have occurred subsequent to June 30, 2026 through the issuance of the consolidated financial statements.</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Foreclosures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Subsequent to quarter end, the Company acquired five multifamily properties located in Aurora, Colorado, Arlington, Texas, Austin, Texas, Roswell, Georgia, and Sandy Springs, Georgia, respectively, via foreclosure. Prior to acquisition, the loans were risk rated "5"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(in thousands, except share and per share amounts).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section should be read in conjunction with the unaudited consolidated financial statements and related notes thereto appearing elsewhere in this Quarterly Report on Form 10-Q. In this report, “we,” “us” and “our” refer to FS Credit Real Estate Income Trust,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may include statements that are not historical facts, including, without limitation, statements with regard to future events or the future performance or financial condition of the Company. Words such as “anticipate,” “believe,” “expect,” “intend,” “project” and “future” or similar expressions indicate a forward-looking statement, although not all forward-looking statements include these words. The forward-looking statements contained in this quarterly report on Form 10-Q are not guarantees of future performance or events and are subject to risks, uncertainties and other factors, some of which are beyond the Company’s control and difficult to predict and could cause actual results or future events to differ materially from those expressed or forecasted in the forward-looking statements for any reason, including those factors set forth in “Item 1A. Risk Factors” in the Company’s most recent Annual Report on Form 10-K and subsequent filings. Factors that could cause actual results or future events to differ materially include, without limitation: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Changes in the economy;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geo-political risks;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risks associated with possible disruption in the Company’s operations or the economy generally due to terrorism, natural disasters or pandemics;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future changes in laws or regulations and conditions in the Company’s operating area.</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based the forward-looking statements included in this quarterly report on Form 10-Q on information available to the Company on the date of this quarterly report on Form 10-Q. You should not place undue reliance on these forward-looking statements. Except as required by federal securities laws, the Company undertakes no obligation to update or revise any forward-looking statements, whether as a result of new information, future events or otherwise. Stockholders are advised to consult any additional disclosures that we may make directly to stockholders or through reports that we may file in the future with the SEC, including annual reports on Form 10-K, quarterly reports on Form 10-Q and current reports on Form 8-K. The forward-looking statements and projections contained in this quarterly report on Form 10-Q are excluded from the safe harbor protection provided by Section 27A of the Securities Act and Section 21E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231F20"/>
          <w:sz w:val="20"/>
        </w:rPr>
      </w:pPr>
      <w:r>
        <w:rPr>
          <w:rFonts w:ascii="Times New Roman;serif" w:hAnsi="Times New Roman;serif"/>
          <w:b/>
          <w:color w:val="231F20"/>
          <w:sz w:val="20"/>
        </w:rPr>
        <w:t>Introduction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were incorporated under the general corporation laws of the State of Maryland on November 7, 2016 and formally commenced investment operations on September 13, 2017. We are managed by FS Real Estate Advisor pursuant to an advisory agreement between us and FS Real Estate Advisor. FS Real Estate Advisor is a subsidiary of our sponsor, Future Standard, a national sponsor of alternative investment funds designed for the individual investor. FS Real Estate Advisor has engaged Rialto to act as its sub-adviser. We are currently conducting a public offering of up to $2,500,000 of our Class T, Class S, Class D, Class M and Class I shares of common stock pursuant to a registration statement on Form S-11 filed with the SEC consisting of up to $2,250,000 in shares in our primary offering and up to $250,000 in shares pursuant to our distribution reinvestment plan. We are also conducting a private offering of our Class I common stock to certain accredited investors.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elected to be taxed as a REIT for U.S. federal income tax purposes commencing with our taxable year ended December 31, 2017. We intend to be an investment vehicle of indefinite duration focused on real estate debt investments and other real estate-related assets. The shares of common stock are generally intended to be sold and repurchased by us on a continuous basis. We intend to conduct our operations so that we are not required to register under the 1940 Act.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investment objectives are to: provide current income in the form of regular, stable cash distributions to achieve an attractive distribution yield; preserve and protect invested capital; realize appreciation in NAV from proactive investment management and asset management; and provide an investment alternative for stockholders seeking to allocate a portion of their long-term investment portfolios to commercial real estate debt.</w:t>
      </w:r>
    </w:p>
    <w:p>
      <w:pPr>
        <w:pStyle w:val="TextBody"/>
        <w:bidi w:val="0"/>
        <w:spacing w:lineRule="auto" w:line="288" w:before="120" w:after="120"/>
        <w:ind w:left="0" w:right="0" w:firstLine="450"/>
        <w:jc w:val="left"/>
        <w:rPr/>
      </w:pPr>
      <w:r>
        <w:rPr>
          <w:rFonts w:ascii="Times New Roman;serif" w:hAnsi="Times New Roman;serif"/>
          <w:b w:val="false"/>
          <w:color w:val="000000"/>
          <w:sz w:val="20"/>
        </w:rPr>
        <w:t>Our investment strategy is to originate, acquire and manage a portfolio of senior loans secured by commercial real estate primarily in the United States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We are focused on senior floating-rate mortgage loans, but we may also invest in other real estate-related assets, including: (i) other commercial real estate mortgage loans, including fixed-rate loans, subordinated loans, B-Notes, mezzanine loans and participations in commercial mortgage loans; and (ii) commercial real estate securities, including CMBS, unsecured debt of listed and non-listed REITs, collateralized debt obligations and equity or equity-linked securities. To a lesser extent we may invest in warehouse loans secured by commercial or residential mortgages, credit loans to commercial real estate companies, construction loans, residential mortgage-backed securities, or RMBS, and portfolios of single-family home mortgages.</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success of our activities is affected by general economic and market conditions, including, among others, interest rates, availability of credit, inflation rates, economic uncertainty, changes in laws and trade barriers. These factors could affect the level and volatility of securities prices and the liquidity of our investments. Volatility or illiquidity could impair our profitability or result in losses. These factors also could adversely affect the availability or cost of our leverage, which would result in lower returns.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Macroeconomic Environment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improvement in commercial real estate (CRE) sentiment during the first quarter of 2026 moderated in the second quarter of 2026, as geopolitical uncertainty, persistent inflation and renewed upward pressure on interest rates caused many investors to adopt a more cautious stance. CRE transaction activity and pricing remained uneven during the quarter. Higher-for-longer rates and heightened macro uncertainty delayed a broader recovery in deal volume, which may hamper deal activity during the second half of 2026.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Despite these challenges, we believe senior CRE debt remains attractive for its income potential and senior position in the capital structure. Approximately $2.1 trillion in CRE debt—more than a third of all outstanding balances—is set to mature by the end of 2028, creating the potential for significant demand for debt financing and opportunities for lenders. However, the investment environment remains subject to meaningful risks. A macroeconomic downturn could pressure CRE valuations and borrower performance. Distress remains elevated in select sectors, in part because fewer workouts were resolved during the second quarter of 2026. As market conditions evolve, disciplined underwriting and selectivity will continue to be critical to navigating both risks and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Portfolio Overview</w:t>
      </w:r>
    </w:p>
    <w:p>
      <w:pPr>
        <w:pStyle w:val="TextBody"/>
        <w:bidi w:val="0"/>
        <w:spacing w:lineRule="auto" w:line="288" w:before="120" w:after="120"/>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Loan Portfolio Overview</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activity in our loans receivable portfolio for the three and six months ended June 30, 2026 and 2025:</w:t>
      </w:r>
    </w:p>
    <w:tbl>
      <w:tblPr>
        <w:tblW w:w="8067" w:type="dxa"/>
        <w:jc w:val="left"/>
        <w:tblInd w:w="0" w:type="dxa"/>
        <w:tblLayout w:type="fixed"/>
        <w:tblCellMar>
          <w:top w:w="28" w:type="dxa"/>
          <w:left w:w="28" w:type="dxa"/>
          <w:bottom w:w="28" w:type="dxa"/>
          <w:right w:w="28" w:type="dxa"/>
        </w:tblCellMar>
      </w:tblPr>
      <w:tblGrid>
        <w:gridCol w:w="663"/>
        <w:gridCol w:w="583"/>
        <w:gridCol w:w="584"/>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fundings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repayments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new loan originations and additional fundings made under existing loans.</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Excludes payment held by servicer and recorded as "Receivable for investments sold and repaid" as of December 31, 2025.</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Inclusive of $40,676 of amortized cost for a loan modification accounted for as a new loan for GAAP purposes. Effective on March 27, 2026, a new collateral secured loan with a new borrower was entered into from a previously owned risk rated 3 senior loan with a principal balance of $40,680. As a part of the new agreement, the new borrower agreed to pay the Company an amount equal to $180. The new loan has a risk rating of 3 as of June 30, 2026.</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overall statistics for our loans receivable portfolio as of June 30, 2026 and December 31, 2025:</w:t>
      </w:r>
    </w:p>
    <w:tbl>
      <w:tblPr>
        <w:tblW w:w="8676" w:type="dxa"/>
        <w:jc w:val="center"/>
        <w:tblInd w:w="0" w:type="dxa"/>
        <w:tblLayout w:type="fixed"/>
        <w:tblCellMar>
          <w:top w:w="28" w:type="dxa"/>
          <w:left w:w="28" w:type="dxa"/>
          <w:bottom w:w="28" w:type="dxa"/>
          <w:right w:w="28" w:type="dxa"/>
        </w:tblCellMar>
      </w:tblPr>
      <w:tblGrid>
        <w:gridCol w:w="1426"/>
        <w:gridCol w:w="1256"/>
        <w:gridCol w:w="1262"/>
        <w:gridCol w:w="109"/>
        <w:gridCol w:w="109"/>
        <w:gridCol w:w="109"/>
        <w:gridCol w:w="1135"/>
        <w:gridCol w:w="586"/>
        <w:gridCol w:w="588"/>
        <w:gridCol w:w="109"/>
        <w:gridCol w:w="109"/>
        <w:gridCol w:w="109"/>
        <w:gridCol w:w="278"/>
        <w:gridCol w:w="1288"/>
        <w:gridCol w:w="203"/>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7,845,350 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7,764,337 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Unfunded loan commitments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cash coupon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+3.31%</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all-in yield</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+3.41%</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maximum maturity (years)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bl>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We may be required to provide funding when requested by the borrower in accordance with the terms of the underlying agreements.</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Our floating rate loans are expressed as a spread over SOFR. In addition to cash coupon, all-in yield includes accretion of discount (amortization of premium) and accrual of exit fees. For loans placed on non-accrual, the interest rate used in calculating weighted-average cash coupon and weighted-average all-in yield is 0%.</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As of June 30, 2026 and December 31, 2025, the one-month SOFR rate was 3.65% and 3.69%, respectively.</w:t>
      </w:r>
    </w:p>
    <w:p>
      <w:pPr>
        <w:pStyle w:val="TextBody"/>
        <w:bidi w:val="0"/>
        <w:spacing w:lineRule="auto" w:line="288" w:before="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Maximum maturity assumes all extension options are exercised by the borrowers; however loans may be repaid prior to such date.</w:t>
      </w:r>
    </w:p>
    <w:p>
      <w:pPr>
        <w:pStyle w:val="TextBody"/>
        <w:bidi w:val="0"/>
        <w:spacing w:lineRule="auto" w:line="288" w:before="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our loan receivable, held-for-investment portfolio, on a loan-by-loan basis, as of June 30, 2026:</w:t>
      </w:r>
    </w:p>
    <w:tbl>
      <w:tblPr>
        <w:tblW w:w="12758" w:type="dxa"/>
        <w:jc w:val="left"/>
        <w:tblInd w:w="0" w:type="dxa"/>
        <w:tblLayout w:type="fixed"/>
        <w:tblCellMar>
          <w:top w:w="28" w:type="dxa"/>
          <w:left w:w="28" w:type="dxa"/>
          <w:bottom w:w="28" w:type="dxa"/>
          <w:right w:w="28" w:type="dxa"/>
        </w:tblCellMar>
      </w:tblPr>
      <w:tblGrid>
        <w:gridCol w:w="124"/>
        <w:gridCol w:w="109"/>
        <w:gridCol w:w="109"/>
        <w:gridCol w:w="235"/>
        <w:gridCol w:w="160"/>
        <w:gridCol w:w="161"/>
        <w:gridCol w:w="109"/>
        <w:gridCol w:w="109"/>
        <w:gridCol w:w="109"/>
        <w:gridCol w:w="320"/>
        <w:gridCol w:w="320"/>
        <w:gridCol w:w="32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35"/>
        <w:gridCol w:w="235"/>
        <w:gridCol w:w="236"/>
        <w:gridCol w:w="109"/>
        <w:gridCol w:w="109"/>
        <w:gridCol w:w="109"/>
        <w:gridCol w:w="170"/>
        <w:gridCol w:w="170"/>
        <w:gridCol w:w="171"/>
        <w:gridCol w:w="109"/>
        <w:gridCol w:w="109"/>
        <w:gridCol w:w="109"/>
        <w:gridCol w:w="280"/>
        <w:gridCol w:w="280"/>
        <w:gridCol w:w="281"/>
        <w:gridCol w:w="109"/>
        <w:gridCol w:w="109"/>
        <w:gridCol w:w="109"/>
        <w:gridCol w:w="505"/>
        <w:gridCol w:w="250"/>
        <w:gridCol w:w="251"/>
        <w:gridCol w:w="109"/>
        <w:gridCol w:w="109"/>
        <w:gridCol w:w="109"/>
        <w:gridCol w:w="389"/>
        <w:gridCol w:w="286"/>
        <w:gridCol w:w="256"/>
        <w:gridCol w:w="109"/>
        <w:gridCol w:w="109"/>
        <w:gridCol w:w="109"/>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12758"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w:t>
            </w:r>
          </w:p>
        </w:tc>
      </w:tr>
      <w:tr>
        <w:trPr/>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Colinas,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Queens,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Temecula,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Reseda,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Sunny Isles Beach,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Venice,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Richardson,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Indianapolis,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Tucson,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Venice,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Davenport,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Goodyear,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 Land, 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Maitland,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Indianapolis,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Humble,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 Pleasant, 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Humble,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Charleston, 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Roswell,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McKinney,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Jacksonville,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Omaha, 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Sandy Springs,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Southaven,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Evanston,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bl>
    <w:p>
      <w:pPr>
        <w:pStyle w:val="TextBody"/>
        <w:bidi w:val="0"/>
        <w:spacing w:lineRule="auto" w:line="288" w:before="0" w:after="0"/>
        <w:ind w:left="0" w:right="0" w:firstLine="54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tbl>
      <w:tblPr>
        <w:tblW w:w="13253" w:type="dxa"/>
        <w:jc w:val="left"/>
        <w:tblInd w:w="0" w:type="dxa"/>
        <w:tblLayout w:type="fixed"/>
        <w:tblCellMar>
          <w:top w:w="28" w:type="dxa"/>
          <w:left w:w="28" w:type="dxa"/>
          <w:bottom w:w="28" w:type="dxa"/>
          <w:right w:w="28" w:type="dxa"/>
        </w:tblCellMar>
      </w:tblPr>
      <w:tblGrid>
        <w:gridCol w:w="124"/>
        <w:gridCol w:w="109"/>
        <w:gridCol w:w="109"/>
        <w:gridCol w:w="235"/>
        <w:gridCol w:w="160"/>
        <w:gridCol w:w="161"/>
        <w:gridCol w:w="109"/>
        <w:gridCol w:w="109"/>
        <w:gridCol w:w="109"/>
        <w:gridCol w:w="320"/>
        <w:gridCol w:w="320"/>
        <w:gridCol w:w="321"/>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35"/>
        <w:gridCol w:w="235"/>
        <w:gridCol w:w="236"/>
        <w:gridCol w:w="109"/>
        <w:gridCol w:w="109"/>
        <w:gridCol w:w="109"/>
        <w:gridCol w:w="260"/>
        <w:gridCol w:w="170"/>
        <w:gridCol w:w="171"/>
        <w:gridCol w:w="109"/>
        <w:gridCol w:w="109"/>
        <w:gridCol w:w="109"/>
        <w:gridCol w:w="280"/>
        <w:gridCol w:w="280"/>
        <w:gridCol w:w="281"/>
        <w:gridCol w:w="109"/>
        <w:gridCol w:w="109"/>
        <w:gridCol w:w="109"/>
        <w:gridCol w:w="424"/>
        <w:gridCol w:w="331"/>
        <w:gridCol w:w="251"/>
        <w:gridCol w:w="109"/>
        <w:gridCol w:w="109"/>
        <w:gridCol w:w="109"/>
        <w:gridCol w:w="389"/>
        <w:gridCol w:w="286"/>
        <w:gridCol w:w="256"/>
        <w:gridCol w:w="109"/>
        <w:gridCol w:w="109"/>
        <w:gridCol w:w="109"/>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Boca Raton,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Euless,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Rogers, 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Clearwater,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Hackensack,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Arlington,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Mesquite,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Seattle,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Queens,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Kent, 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Lithonia,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Brooklyn,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Mesa,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Phoenix,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r>
      <w:tr>
        <w:trPr/>
        <w:tc>
          <w:tcPr>
            <w:tcW w:w="21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3"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w:t>
            </w:r>
          </w:p>
        </w:tc>
      </w:tr>
      <w:tr>
        <w:trPr/>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Addison,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Coral Gables,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Coral Gables,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Lauderdale,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Milwaukee, 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Memphis, 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Richardson,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Bronx,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218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3"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Industrial</w:t>
            </w:r>
          </w:p>
        </w:tc>
      </w:tr>
      <w:tr>
        <w:trPr/>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Bayonne,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bl>
    <w:p>
      <w:pPr>
        <w:pStyle w:val="TextBody"/>
        <w:bidi w:val="0"/>
        <w:spacing w:lineRule="auto" w:line="288" w:before="0" w:after="0"/>
        <w:ind w:left="0" w:right="0" w:firstLine="54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tbl>
      <w:tblPr>
        <w:tblW w:w="13272" w:type="dxa"/>
        <w:jc w:val="left"/>
        <w:tblInd w:w="0" w:type="dxa"/>
        <w:tblLayout w:type="fixed"/>
        <w:tblCellMar>
          <w:top w:w="28" w:type="dxa"/>
          <w:left w:w="28" w:type="dxa"/>
          <w:bottom w:w="28" w:type="dxa"/>
          <w:right w:w="28" w:type="dxa"/>
        </w:tblCellMar>
      </w:tblPr>
      <w:tblGrid>
        <w:gridCol w:w="141"/>
        <w:gridCol w:w="124"/>
        <w:gridCol w:w="126"/>
        <w:gridCol w:w="235"/>
        <w:gridCol w:w="160"/>
        <w:gridCol w:w="161"/>
        <w:gridCol w:w="109"/>
        <w:gridCol w:w="109"/>
        <w:gridCol w:w="109"/>
        <w:gridCol w:w="320"/>
        <w:gridCol w:w="320"/>
        <w:gridCol w:w="321"/>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35"/>
        <w:gridCol w:w="235"/>
        <w:gridCol w:w="236"/>
        <w:gridCol w:w="109"/>
        <w:gridCol w:w="109"/>
        <w:gridCol w:w="109"/>
        <w:gridCol w:w="170"/>
        <w:gridCol w:w="170"/>
        <w:gridCol w:w="171"/>
        <w:gridCol w:w="109"/>
        <w:gridCol w:w="109"/>
        <w:gridCol w:w="109"/>
        <w:gridCol w:w="280"/>
        <w:gridCol w:w="280"/>
        <w:gridCol w:w="281"/>
        <w:gridCol w:w="109"/>
        <w:gridCol w:w="109"/>
        <w:gridCol w:w="109"/>
        <w:gridCol w:w="524"/>
        <w:gridCol w:w="366"/>
        <w:gridCol w:w="251"/>
        <w:gridCol w:w="109"/>
        <w:gridCol w:w="109"/>
        <w:gridCol w:w="109"/>
        <w:gridCol w:w="345"/>
        <w:gridCol w:w="255"/>
        <w:gridCol w:w="256"/>
        <w:gridCol w:w="109"/>
        <w:gridCol w:w="109"/>
        <w:gridCol w:w="109"/>
        <w:gridCol w:w="51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 Windsor,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Sparks,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Detroit, 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Sandy Springs,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Valley Cottage,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Gilbert,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Jamaica,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Morrow,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Delanco,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Glen Allen, 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Elizabeth,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Hospitality</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Cambridge,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Adairsville,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Gaithersburg,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Macon,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Mixed Use</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Northridge,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Burlington,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 Hollywood,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Mixed 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Westminster, CO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Charlottesville, 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Chula Vista,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Yonkers,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Brooklyn,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2" w:type="dxa"/>
            <w:gridSpan w:val="6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Various</w:t>
            </w:r>
          </w:p>
        </w:tc>
      </w:tr>
      <w:tr>
        <w:trPr/>
        <w:tc>
          <w:tcPr>
            <w:tcW w:w="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w:t>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 Barbara, CA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22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tbl>
      <w:tblPr>
        <w:tblW w:w="11578"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109"/>
        <w:gridCol w:w="109"/>
        <w:gridCol w:w="109"/>
        <w:gridCol w:w="320"/>
        <w:gridCol w:w="320"/>
        <w:gridCol w:w="321"/>
        <w:gridCol w:w="109"/>
        <w:gridCol w:w="109"/>
        <w:gridCol w:w="109"/>
        <w:gridCol w:w="165"/>
        <w:gridCol w:w="165"/>
        <w:gridCol w:w="166"/>
        <w:gridCol w:w="109"/>
        <w:gridCol w:w="109"/>
        <w:gridCol w:w="109"/>
        <w:gridCol w:w="255"/>
        <w:gridCol w:w="255"/>
        <w:gridCol w:w="256"/>
        <w:gridCol w:w="109"/>
        <w:gridCol w:w="109"/>
        <w:gridCol w:w="109"/>
        <w:gridCol w:w="196"/>
        <w:gridCol w:w="871"/>
        <w:gridCol w:w="109"/>
        <w:gridCol w:w="109"/>
        <w:gridCol w:w="109"/>
        <w:gridCol w:w="109"/>
        <w:gridCol w:w="235"/>
        <w:gridCol w:w="235"/>
        <w:gridCol w:w="236"/>
        <w:gridCol w:w="109"/>
        <w:gridCol w:w="109"/>
        <w:gridCol w:w="109"/>
        <w:gridCol w:w="170"/>
        <w:gridCol w:w="170"/>
        <w:gridCol w:w="171"/>
        <w:gridCol w:w="109"/>
        <w:gridCol w:w="109"/>
        <w:gridCol w:w="109"/>
        <w:gridCol w:w="280"/>
        <w:gridCol w:w="280"/>
        <w:gridCol w:w="281"/>
        <w:gridCol w:w="109"/>
        <w:gridCol w:w="109"/>
        <w:gridCol w:w="109"/>
        <w:gridCol w:w="250"/>
        <w:gridCol w:w="250"/>
        <w:gridCol w:w="251"/>
        <w:gridCol w:w="109"/>
        <w:gridCol w:w="109"/>
        <w:gridCol w:w="109"/>
        <w:gridCol w:w="255"/>
        <w:gridCol w:w="255"/>
        <w:gridCol w:w="256"/>
        <w:gridCol w:w="109"/>
        <w:gridCol w:w="109"/>
        <w:gridCol w:w="109"/>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Origination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Coupon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All-in Yield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Maturity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LTV</w:t>
            </w:r>
            <w:r>
              <w:rPr>
                <w:rFonts w:ascii="Times New Roman;serif" w:hAnsi="Times New Roman;serif"/>
                <w:b/>
                <w:color w:val="000000"/>
                <w:sz w:val="10"/>
              </w:rPr>
              <w:t>(1)</w:t>
            </w:r>
          </w:p>
        </w:tc>
      </w:tr>
      <w:tr>
        <w:trPr/>
        <w:tc>
          <w:tcPr>
            <w:tcW w:w="211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8,421,115 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Date loan was originated or acquired by us, and the LTV, as of such date. Dates and LTV are not updated for subsequent loan modifications or upsizes.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The weighted-average cash coupon and all-in yield are expressed as a spread over the relevant floating benchmark rate, which is SOFR. In addition to cash coupon, all-in yield includes accretion of discount (amortization of premium) and accrual of exit fees. For loans placed on non-accrual, the interest rate used in calculating weighted-average cash coupon and weighted-average all-in yield is 0%.</w:t>
      </w:r>
    </w:p>
    <w:p>
      <w:pPr>
        <w:pStyle w:val="TextBody"/>
        <w:bidi w:val="0"/>
        <w:spacing w:lineRule="auto" w:line="288" w:before="0" w:after="24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Maximum maturity assumes all extension options are exercised by the borrower, however loans may be repaid prior to such date.</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ind w:left="0" w:right="0" w:firstLine="450"/>
        <w:jc w:val="left"/>
        <w:rPr/>
      </w:pPr>
      <w:r>
        <w:rPr>
          <w:rFonts w:ascii="Times New Roman;serif" w:hAnsi="Times New Roman;serif"/>
          <w:b w:val="false"/>
          <w:color w:val="000000"/>
          <w:sz w:val="20"/>
        </w:rPr>
        <w:t>The following table sets forth information regarding our unaudited consolidated results of operations for the three and six months ended June 30, 2026 and 2025:</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82"/>
        <w:gridCol w:w="1259"/>
        <w:gridCol w:w="122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mortgage loans held in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 on mortgage obligations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Expense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Expense recoupment to sponsor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mortgage-backed securities, fair value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mortgage loans and obligations held in securitization trusts,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real estate,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FS Credit Real Estate Income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is generated on our interest-earning assets less related interest-bearing liabilities. The decrease in interest income and interest expense was primarily attributable to lower average index rates for the six months ended June 30, 2026 as compared to the six months ended June 30, 2025. The increase in interest income on mortgage loans held in securitization trusts, and interest expense on mortgage obligations issued by securitization trusts was attributable to the consolidation of securitization vehicles.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Other Expenses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expenses include management and performance fees payable to FS Real Estate Advisor and general and administrative expenses. General and administrative expenses include administrative services expenses and fees, auditing and professional fees, independent director fees, transfer agent fees, loan servicing expenses and other costs associated with operating our business. The increase in other expenses for the six months ended June 30, 2026 as compared to the six months ended June 30, 2025 can primarily be attributed to the increase in real estate operating expenses and depreciation and amortization as a result of the acquisition of real estate properties through foreclosure during the back half of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Limitation</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Expense Limitation Agreement with FS Real Estate Advisor and Rialto pursuant to which FS Real Estate Advisor and Rialto have agreed to waive reimbursement of or pay, on a quarterly basis, our annualized ordinary operating expenses for such quarter to the extent such expenses exceed 1.5% per annum of our average net assets attributable to each of our classes of common stock. Ordinary operating expenses for each class of common stock consist of all ordinary expenses attributable to such class, including administration fees, transfer agent fees, fees paid to our board of directors, loan servicing expenses, administrative services expenses and fees, and related costs associated with legal, regulatory compliance and investor relations, but excluding the following: (a) management fees and performance fees paid to FS Real Estate Advisor pursuant to the Advisory Agreement, (b) interest expense and other financing costs, (c) taxes, (d) distribution or shareholder servicing fees and (e) unusual, unexpected and/or nonrecurring expenses. We will repay FS Real Estate Advisor or Rialto on a quarterly basis any ordinary operating expenses previously waived or paid, but only if the reimbursement would not cause the then-current expense limitation, if any, to be exceeded. In addition, the reimbursement of expenses will be made only if payable not more than three years from the end of the fiscal quarter in which the expenses were paid or waived.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Company had $0 and $1,247, respectively, of reimbursements due from FS Real Estate Advisor and Rialto.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$406 expense recoupments were paid to FS Real Estate Advisor and Rialto. As of June 30, 2026, there were $ of expense recoupments payable to FS Real Estate Advisor and Rialto.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Loss Expense, Net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expected credit loss reserve decreased by $7,680. The decrease was primarily driven by the macroeconomic assumptions utilized in determining our general current expected credit loss ("CECL") reserve. Credit loss expenses relate to changes in the Company’s general and specific CECL reserves for the Company’s Loans receivable, held-for-investment and Mortgage-backed securities, held-to-maturity portfolios, and the credit loss allowance associated with the Company’s Mortgage-backed securities available-for-sale.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Funds from Operations and Modified Funds from Operations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use Funds from Operations ("FFO"), a widely accepted non-GAAP financial metric, to evaluate our performance. FFO provides a supplemental measure to compare our performance and operations to other REITs. Due to certain unique operating characteristics of real estate companies, the National Association of Real Estate Investment Trusts ("NAREIT") has promulgated a standard known as FFO, which it believes more accurately reflects the operating performance of a REIT. As defined by NAREIT, FFO means net income computed in accordance with GAAP, excluding gains (or losses) from sales of operating property, plus depreciation and amortization and after adjustments for unconsolidated entities. In addition, NAREIT has further clarified the FFO definition to add-back impairment write-downs of depreciable real estate or of investments in unconsolidated entities that are driven by measurable decreases in the fair value of depreciable real estate and to exclude the earnings impacts of cumulative effects of accounting changes. We have adopted the NAREIT definition for computing FFO.</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the unique features of publicly registered, non-listed REITs, the Institute for Portfolio Alternatives ("IPA"), an industry trade group, published a standardized non-GAAP financial measure known as Modified Funds from Operations ("MFFO"), which the IPA has promulgated as a supplemental measure for publicly registered non-listed REITs and which may be another appropriate supplemental measure to reflect the operating performance of a non-listed REIT.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IPA defines MFFO as FFO adjusted for acquisition fees and expenses, amounts relating to straight line rents and amortization of premiums or accretion of discounts on debt investments, non-recurring impairments of real estate-related investments, mark-to-market adjustments included in net income, non-recurring gains or losses included in net income from the extinguishment or sale of debt, hedges, foreign exchange, derivatives or securities holdings where trading of such holdings is not a fundamental attribute of the business plan, unrealized gains or losses resulting from consolidation from, or deconsolidation to, equity accounting, and after adjustments for consolidated and unconsolidated partnerships and joint ventures.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MFFO may be a recognized measure of operating performance within the non-listed REIT industry, MFFO and the adjustments used to calculate it may be useful in order to evaluate our performance against other non-listed REITs. Like FFO, MFFO is not equivalent to our net income or loss as determined under GAAP, as detailed in the table below, and MFFO may not be a useful measure of the impact of long-term operating performance on value if we continue to acquire a significant amount of investments.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presentation of FFO and MFFO may not be comparable to other similarly titled measures presented by other REITs. We believe that the use of FFO and MFFO provides a more complete understanding of our operating performance to stockholders and to management, and when compared year over year, reflects the impact on our operations from trends in operating costs, general and administrative expenses, and interest costs. Neither FFO nor MFFO is intended to be an alternative to “net income” or to “cash flows from operating activities” as determined by GAAP as a measure of our capacity to pay distributions. Management uses FFO and MFFO to compare our operating performance to that of other REITs and to assess our operating performance.</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Neither the SEC, any other regulatory body nor NAREIT has passed judgment on the acceptability of the adjustments that we use to calculate FFO or MFFO. In the future, the SEC, another regulatory body or NAREIT may decide to standardize the allowable adjustments across the non-listed REIT industry and we would have to adjust our calculation and characterization of FFO or MFFO.</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FFO and MFFO are calculated for the three and six months ended June 30, 2026 and 2025 as follows:</w:t>
      </w:r>
    </w:p>
    <w:tbl>
      <w:tblPr>
        <w:tblW w:w="10205" w:type="dxa"/>
        <w:jc w:val="left"/>
        <w:tblInd w:w="0" w:type="dxa"/>
        <w:tblLayout w:type="fixed"/>
        <w:tblCellMar>
          <w:top w:w="28" w:type="dxa"/>
          <w:left w:w="28" w:type="dxa"/>
          <w:bottom w:w="28" w:type="dxa"/>
          <w:right w:w="28" w:type="dxa"/>
        </w:tblCellMar>
      </w:tblPr>
      <w:tblGrid>
        <w:gridCol w:w="1965"/>
        <w:gridCol w:w="1470"/>
        <w:gridCol w:w="1457"/>
        <w:gridCol w:w="221"/>
        <w:gridCol w:w="757"/>
        <w:gridCol w:w="114"/>
        <w:gridCol w:w="114"/>
        <w:gridCol w:w="114"/>
        <w:gridCol w:w="114"/>
        <w:gridCol w:w="221"/>
        <w:gridCol w:w="757"/>
        <w:gridCol w:w="114"/>
        <w:gridCol w:w="109"/>
        <w:gridCol w:w="109"/>
        <w:gridCol w:w="109"/>
        <w:gridCol w:w="211"/>
        <w:gridCol w:w="721"/>
        <w:gridCol w:w="109"/>
        <w:gridCol w:w="109"/>
        <w:gridCol w:w="109"/>
        <w:gridCol w:w="109"/>
        <w:gridCol w:w="211"/>
        <w:gridCol w:w="721"/>
        <w:gridCol w:w="160"/>
      </w:tblGrid>
      <w:tr>
        <w:trPr/>
        <w:tc>
          <w:tcPr>
            <w:tcW w:w="19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(GAAP)</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funds from operations: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arrive at modified funds from operations: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mortgage-backed securities held-to-maturity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rental income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interest rate cap</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in unrealized (gain) loss on mortgage-backed securities fair value option </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mortgage loans and obligations held in securitization trusts,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real estate, held-for-sale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Modified funds from operations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NAV per Share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FS Real Estate Advisor calculates our NAV per share in accordance with the valuation guidelines approved by our board of directors for the purposes of establishing a price for shares sold in our public offering as well as establishing a repurchase price for shares repurchased pursuant to our Share Repurchase Plan.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general, our investments are valued by FS Real Estate Advisor based on market quotations, at amortized cost or at fair value determined in accordance with GAAP. In accordance with the valuation guidelines approved by our board of directors, FS Real Estate Advisor calculates our NAV per share for each class of our common stock as of the last calendar day of each month. For purposes of calculating our NAV, FS Real Estate Advisor uses the following valuation methods: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Commercial real estate debt classified as held-for-investment is valued at amortized cost, net of unamortized acquisition premiums or discounts, loan fees, and origination costs. Mortgage-backed securities are classified as held-to-maturity when we intend to and can hold such securities until maturity and are valued at amortized cost, net of unamortized acquisition premium or discount. Our general CECL reserve is not considered impairment and is excluded from our NAV calculation consistent with other unrealized gains (losses) for investments expected to be held-to-maturity pursuant to our existing policy for calculating NAV. We recognize such potential credit losses in the NAV calculation if and when a loan is deemed impaired. Impairment is indicated when it is deemed probable that we will not be able to collect all amounts due to us pursuant to the contractual terms of the loan. If a loan is determined to be impaired, the loan is written down through a loan specific reserve. See Note 2 to our unaudited consolidated financial statements included herein for additional information regarding our accounting for impaired loans, including significant judgments and assumptions included. At least quarterly, FS Real Estate Advisor, with assistance from our sub-adviser, evaluates for impairment each loan classified as held-for-investment.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Mortgage-backed securities that we do not classify as held-to-maturity are reported at fair value. On a monthly basis, FS Real Estate Advisor values such securities using quotations obtained from an independent third-party pricing service, which provides prevailing bid and ask prices that are screened for validity by the third-party pricing service on the valuation date. For securities for which there is no readily available market quotations, FS Real Estate Advisor values the security using current market data and a valuation provided by an independent third-party valuation firm. Each investment is valued by FS Real Estate Advisor no less frequently than quarterly.</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Purchased commercial real estate properties are initially valued at cost, which is expected to represent fair value at that time. FS Real Estate Advisor, with assistance from our sub-adviser, expects to receive an appraisal performed by an independent third-party appraisal firm on each property purchased prior to or upon acquisition. Foreclosed properties are initially measured at fair value by the adviser. Each property will then be valued by an independent third party monthly, commencing with the month subsequent to acquisition. Properties accounted for as held-for-investment are reported at fair value, while properties accounted for as held-for-sale are reported at fair value less estimated costs to sell. The independent third-party valuation firm will provide a monthly valuation for each property using the discounted cash flow methodology (income approach) as a primary methodology, although other industry standard methodologies may be used, including the sales </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comparison and replacement cost approaches. Further, the independent third-party valuation firm will provide an annual valuation for each property, which will be consistent with its monthly valuation but will also reflect (i) property specific factors such as property income, cash flow forecasts, capital improvements and key performance indicators (e.g. occupancy rates) and (ii) market specific factors such as discount rates, capitalization rates and market sale transactions.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Liabilities include repurchase agreements payable, credit facility payable, collateralized loan obligations, mortgage obligations, fees payable to FS Real Estate Advisor and the dealer manager, accounts payable, accrued operating expenses, any portfolio-level credit facilities, and other liabilities. All liabilities are valued at amounts payable, net of unamortized premium or discount, and net of unamortized debt issuance costs. Liabilities related to stockholder servicing fees allocable to Class T, Class S, Class D and Class M shares are only included in the NAV calculation for those classes. Liabilities related to the base management fee is a class-specific expense for Class T, Class S, Class D, Class M and Class I shares, and the performance fee is a class-specific expense for Class T, Class S, Class D, Class M, Class I and Class Y shares. Class I PCRs will not be treated as a liability unless and until Class I shares are issuable pursuant to our advisory agreement and the Class I PCR agreement.</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Loans receivable and mortgage-backed securities held-to-maturity are valued at amortized cost, consistent with how they are recorded in accordance with GAAP, as these instruments are intended to be held-to-maturity. Liabilities are valued at amortized cost as these obligations are expected to be satisfied at their carrying value. See Note 9 to our unaudited consolidated financial statements included herein for additional information including a comparison of our carrying value and an estimate of the fair value of our loans receivable held-for-investment, mortgage-backed securities held-to-maturity, repurchase agreements payable, credit facility payable, collateralized loan obligations, and mortgage note payable.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breakdown of the major components of our total NAV as of June 30, 2026: </w:t>
      </w:r>
    </w:p>
    <w:tbl>
      <w:tblPr>
        <w:tblW w:w="8578" w:type="dxa"/>
        <w:jc w:val="center"/>
        <w:tblInd w:w="0" w:type="dxa"/>
        <w:tblLayout w:type="fixed"/>
        <w:tblCellMar>
          <w:top w:w="28" w:type="dxa"/>
          <w:left w:w="28" w:type="dxa"/>
          <w:bottom w:w="28" w:type="dxa"/>
          <w:right w:w="28" w:type="dxa"/>
        </w:tblCellMar>
      </w:tblPr>
      <w:tblGrid>
        <w:gridCol w:w="1949"/>
        <w:gridCol w:w="1716"/>
        <w:gridCol w:w="1719"/>
        <w:gridCol w:w="109"/>
        <w:gridCol w:w="109"/>
        <w:gridCol w:w="109"/>
        <w:gridCol w:w="211"/>
        <w:gridCol w:w="976"/>
        <w:gridCol w:w="109"/>
        <w:gridCol w:w="109"/>
        <w:gridCol w:w="109"/>
        <w:gridCol w:w="109"/>
        <w:gridCol w:w="109"/>
        <w:gridCol w:w="109"/>
        <w:gridCol w:w="109"/>
        <w:gridCol w:w="109"/>
        <w:gridCol w:w="109"/>
        <w:gridCol w:w="109"/>
        <w:gridCol w:w="109"/>
        <w:gridCol w:w="109"/>
        <w:gridCol w:w="109"/>
        <w:gridCol w:w="109"/>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for investment sold and repaid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in securitization trusts,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servicing fees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obligations issued by securitization trusts,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See Reconciliation of Stockholders' Equity to NAV below for an explanation of the differences between the stockholder servicing fees accrued for purposes of NAV and the amount accrued under GAAP.</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 by share class as of June 30, 2026:</w:t>
      </w:r>
    </w:p>
    <w:tbl>
      <w:tblPr>
        <w:tblW w:w="13375" w:type="dxa"/>
        <w:jc w:val="left"/>
        <w:tblInd w:w="0" w:type="dxa"/>
        <w:tblLayout w:type="fixed"/>
        <w:tblCellMar>
          <w:top w:w="28" w:type="dxa"/>
          <w:left w:w="28" w:type="dxa"/>
          <w:bottom w:w="28" w:type="dxa"/>
          <w:right w:w="28" w:type="dxa"/>
        </w:tblCellMar>
      </w:tblPr>
      <w:tblGrid>
        <w:gridCol w:w="484"/>
        <w:gridCol w:w="423"/>
        <w:gridCol w:w="18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121,759,619 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 per share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weighted average discount rate and exit capitalization rate by property type, which are the key assumptions used in the discounted cash flow valuations as of June 30, 2026:</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tbl>
      <w:tblPr>
        <w:tblW w:w="5496"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424"/>
        <w:gridCol w:w="424"/>
        <w:gridCol w:w="426"/>
        <w:gridCol w:w="109"/>
        <w:gridCol w:w="109"/>
        <w:gridCol w:w="109"/>
        <w:gridCol w:w="645"/>
        <w:gridCol w:w="645"/>
        <w:gridCol w:w="91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Exit Capitalization Rate</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5.55%</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Discount rate and exit capitalization rate are the key assumptions used in the discounted cash flow valuation of our investments in real estate. A change in these assumptions would impact the calculation of the value of our real estate investments. For example, assuming all other factors remain unchanged, the changes listed below would result in the following effects on our investment values:</w:t>
      </w:r>
    </w:p>
    <w:tbl>
      <w:tblPr>
        <w:tblW w:w="9933" w:type="dxa"/>
        <w:jc w:val="left"/>
        <w:tblInd w:w="0" w:type="dxa"/>
        <w:tblLayout w:type="fixed"/>
        <w:tblCellMar>
          <w:top w:w="28" w:type="dxa"/>
          <w:left w:w="28" w:type="dxa"/>
          <w:bottom w:w="28" w:type="dxa"/>
          <w:right w:w="28" w:type="dxa"/>
        </w:tblCellMar>
      </w:tblPr>
      <w:tblGrid>
        <w:gridCol w:w="762"/>
        <w:gridCol w:w="665"/>
        <w:gridCol w:w="673"/>
        <w:gridCol w:w="109"/>
        <w:gridCol w:w="109"/>
        <w:gridCol w:w="109"/>
        <w:gridCol w:w="629"/>
        <w:gridCol w:w="629"/>
        <w:gridCol w:w="631"/>
        <w:gridCol w:w="109"/>
        <w:gridCol w:w="109"/>
        <w:gridCol w:w="109"/>
        <w:gridCol w:w="489"/>
        <w:gridCol w:w="489"/>
        <w:gridCol w:w="1226"/>
        <w:gridCol w:w="109"/>
        <w:gridCol w:w="109"/>
        <w:gridCol w:w="109"/>
        <w:gridCol w:w="563"/>
        <w:gridCol w:w="563"/>
        <w:gridCol w:w="1633"/>
      </w:tblGrid>
      <w:tr>
        <w:trPr/>
        <w:tc>
          <w:tcPr>
            <w:tcW w:w="7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 Investment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Multifamily Investment Values</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our stockholders' equity to our NAV as of June 30, 2026:</w:t>
      </w:r>
    </w:p>
    <w:tbl>
      <w:tblPr>
        <w:tblW w:w="8338" w:type="dxa"/>
        <w:jc w:val="left"/>
        <w:tblInd w:w="0" w:type="dxa"/>
        <w:tblLayout w:type="fixed"/>
        <w:tblCellMar>
          <w:top w:w="28" w:type="dxa"/>
          <w:left w:w="28" w:type="dxa"/>
          <w:bottom w:w="28" w:type="dxa"/>
          <w:right w:w="28" w:type="dxa"/>
        </w:tblCellMar>
      </w:tblPr>
      <w:tblGrid>
        <w:gridCol w:w="1862"/>
        <w:gridCol w:w="1637"/>
        <w:gridCol w:w="1645"/>
        <w:gridCol w:w="109"/>
        <w:gridCol w:w="109"/>
        <w:gridCol w:w="109"/>
        <w:gridCol w:w="211"/>
        <w:gridCol w:w="976"/>
        <w:gridCol w:w="109"/>
        <w:gridCol w:w="109"/>
        <w:gridCol w:w="109"/>
        <w:gridCol w:w="109"/>
        <w:gridCol w:w="109"/>
        <w:gridCol w:w="109"/>
        <w:gridCol w:w="109"/>
        <w:gridCol w:w="109"/>
        <w:gridCol w:w="109"/>
        <w:gridCol w:w="109"/>
        <w:gridCol w:w="109"/>
        <w:gridCol w:w="109"/>
        <w:gridCol w:w="109"/>
        <w:gridCol w:w="109"/>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Stockholders' Equity to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under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net of preferred stock, under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CECL reserve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unrealized real estate depreciation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Accumulated depreciation and amortization</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Stockholder servicing fees only apply to Class T, Class S, Class D and Class M shares. Under GAAP, we accrue future stockholder servicing fees in an amount equal to our best estimate of fees payable to FS Investment Solutions at the time such shares are sold. For purposes of NAV, we recognize the stockholder servicing fee as a reduction of NAV on a monthly basis. As a result, the estimated liability for the future stockholder servicing fees, which are accrued at the time each share is sold, will have no effect on the NAV of any class.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    Our loans receivable held-for-investment and mortgage-backed securities held-for-investment balances include a general CECL reserve in our GAAP unaudited consolidated financial statements. For purposes of calculating our NAV, our general CECL reserve is excluded. We recognize a specific CECL reserve in the NAV calculation if and when a loan is deemed impaired, as described above.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    Our investment in real estate is presented at its depreciated cost basis in our GAAP unaudited consolidated financial statements. As such, any increases or decreases in the fair market value of our investment in real estate is not included in our GAAP results. For purposes of calculating our NAV, our investment in real estate is recorded at fair value.</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(4)    We depreciate our investment in real estate and amortize certain other assets and liabilities in accordance with GAAP. Such depreciation and amortization are not recorded for purposes of determining our NAV.</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(5)    Includes (i) straight-line rent receivables, which are recorded in accordance with GAAP but not recorded for purposes of determining our NAV, (ii) increases or decreases in the fair market value of our interest rate cap, which is recorded in accordance with GAAP but not recorded for purposes of determining our NAV. For purposes of calculating our NAV, the interest rate cap is amortized over its term, and (iii) other adjustments.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Limits on the Calculation of Our Per Share NAV</w:t>
      </w:r>
    </w:p>
    <w:p>
      <w:pPr>
        <w:pStyle w:val="TextBody"/>
        <w:bidi w:val="0"/>
        <w:spacing w:lineRule="auto" w:line="268"/>
        <w:ind w:left="0" w:right="0" w:firstLine="450"/>
        <w:jc w:val="left"/>
        <w:rPr/>
      </w:pPr>
      <w:r>
        <w:rPr>
          <w:rFonts w:ascii="Times New Roman;serif" w:hAnsi="Times New Roman;serif"/>
          <w:b w:val="false"/>
          <w:color w:val="000000"/>
          <w:sz w:val="20"/>
        </w:rPr>
        <w:t>Although our primary goal in establishing our valuation guidelines is to produce a valuation that represents a fair and accurate estimate of the value of our investments, the methodologies used are based on judgments, assumptions and opinions about future events that may or may not prove to be correct, and if different judgments, assumptions or opinions were used, a different estimate would likely result. Furthermore, our published per share NAV may not fully reflect certain extraordinary events because we may not be able to immediately quantify the financial impact of such events on our portfolio. FS Real Estate Advisor monitors our portfolio between valuations to determine whether there have been any extraordinary events that may have materially changed the estimated market value of the portfolio, such as significant market events or disruptions or force majeure events</w:t>
      </w:r>
      <w:r>
        <w:rPr>
          <w:rFonts w:ascii="Times New Roman;serif" w:hAnsi="Times New Roman;serif"/>
          <w:b w:val="false"/>
          <w:color w:val="008080"/>
          <w:sz w:val="20"/>
        </w:rPr>
        <w:t>.</w:t>
      </w:r>
      <w:r>
        <w:rPr>
          <w:color w:val="000000"/>
        </w:rPr>
        <w:t xml:space="preserve"> </w:t>
      </w:r>
      <w:r>
        <w:rPr>
          <w:rFonts w:ascii="Times New Roman;serif" w:hAnsi="Times New Roman;serif"/>
          <w:b w:val="false"/>
          <w:color w:val="000000"/>
          <w:sz w:val="20"/>
        </w:rPr>
        <w:t xml:space="preserve">If required by applicable securities law, we will promptly disclose the occurrence of such event in a prospectus supplement and FS Real Estate Advisor will analyze the impact of such extraordinary event on our portfolio and determine, in coordination with third-party valuation services, the appropriate adjustment to be made to our NAV. We will not, however, retroactively adjust NAV. To the extent that the extraordinary </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events may result in a material change in value of a specific investment, FS Real Estate Advisor will order a new valuation of the investment, which will be prepared by a third-party valuation service. It is not known whether any resulting disparity will benefit stockholders whose shares are or are not being repurchased or purchasers of our common stock. In calculating the number of shares outstanding used in calculating our NAV, we include the number of estimated Class I shares, if any, issuable to the adviser and the sub-adviser pursuant to the PCR Agreement based on the achievement of the Performance Conditions (as defined in the PCR Agreement), which estimate we will true up following the issuance of such Class I shares pursuant to the PCR Agreement.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include no discounts to our NAV for the illiquid nature of our shares, including the limitations on the ability to sell shares under our Share Repurchase Plan and our ability to suspend or terminate our Share Repurchase Plan at any time. Our NAV generally does not consider exit costs that would likely be incurred if our assets and liabilities were liquidated or sold. While we may use market pricing concepts to value individual components of our NAV, our per share NAV is not derived from the market pricing information of open-end real estate funds listed on stock exchanges.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represent, warranty or guarantee that: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stockholder would be able to realize the NAV per share for the class of shares a stockholder owns if the stockholder attempts to sell its shares;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stockholder would ultimately realize distributions per share equal to per share NAV upon a liquidation of our assets and settlement of our liabilities or upon any other liquidity event;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shares of our common stock would trade at per share NAV on a national securities exchange;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third party in an arm’s-length transaction would offer to purchase all or substantially all of our shares of common stock at NAV;</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NAV would equate to a market price for an open-end real estate fund;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NAV would represent the fair value of our assets less liabilities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$213,373 in cash and cash equivalents, which we and our wholly owned subsidiaries held in custodial accounts. In addition, as of June 30, 2026, we had $3,436,525 in borrowings available under our financing arrangements, subject to borrowing base and other limitations. As of June 30, 2026, we had unfunded loan commitments of $379,938. We maintain sufficient cash on hand and available borrowings to fund such unfunded commitments should the need arise.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obtain the funds required to purchase or originate investments and conduct our operations from the net proceeds of our public offering, the private placement of our Class I shares and any future offerings we may conduct, from secured and unsecured borrowings from banks and other lenders, and from any undistributed funds from operations. Our principal demands for funds will be for asset acquisitions/originations, the payment of operating expenses and distributions, the payment of interest on any outstanding indebtedness and repurchases of our common stock pursuant to our Share Repurchase Plan. Generally, cash needs for items other than asset acquisitions/originations will be met from operations, and cash needs for asset acquisitions/originations will be funded by public offerings of our shares and debt financings. However, there may be a delay between the sale of our shares and our purchase/originations of assets, which could result in a delay in the benefits to our stockholders of returns generated from our investment operations. Our leverage may not exceed 300% of our total net assets (as defined in our charter) as of the date of any borrowing unless a majority of our independent directors vote to approve any borrowing in excess of this amount. Our board of directors will continue to review our ratio of leverage to total net assets on a quarterly basis, as required by our charter.</w:t>
      </w:r>
    </w:p>
    <w:tbl>
      <w:tblPr>
        <w:tblW w:w="6201" w:type="dxa"/>
        <w:jc w:val="left"/>
        <w:tblInd w:w="0" w:type="dxa"/>
        <w:tblLayout w:type="fixed"/>
        <w:tblCellMar>
          <w:top w:w="28" w:type="dxa"/>
          <w:left w:w="28" w:type="dxa"/>
          <w:bottom w:w="28" w:type="dxa"/>
          <w:right w:w="28" w:type="dxa"/>
        </w:tblCellMar>
      </w:tblPr>
      <w:tblGrid>
        <w:gridCol w:w="906"/>
        <w:gridCol w:w="798"/>
        <w:gridCol w:w="800"/>
        <w:gridCol w:w="109"/>
        <w:gridCol w:w="109"/>
        <w:gridCol w:w="109"/>
        <w:gridCol w:w="424"/>
        <w:gridCol w:w="424"/>
        <w:gridCol w:w="426"/>
        <w:gridCol w:w="109"/>
        <w:gridCol w:w="109"/>
        <w:gridCol w:w="109"/>
        <w:gridCol w:w="517"/>
        <w:gridCol w:w="517"/>
        <w:gridCol w:w="735"/>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Debt-to-equity ratio</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2.3x</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Leverage-to-net assets ratio</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2.1x</w:t>
            </w:r>
          </w:p>
        </w:tc>
      </w:tr>
    </w:tbl>
    <w:p>
      <w:pPr>
        <w:pStyle w:val="TextBody"/>
        <w:bidi w:val="0"/>
        <w:spacing w:lineRule="auto" w:line="288" w:before="0" w:after="60"/>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Represents (i) total gross outstanding debt agreements less cash on our consolidated balance sheets (ii) total stockholder's equity, in each case, at period end.</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Represents (i) total gross outstanding debt agreements (ii) total net asset value (as defined in our charter), in each case, at period end. See NAV per share section within Item 2 for a reconciliation between our stockholder's equity to net asset value.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raise substantial funds in our public offering, we will make fewer investments resulting in less diversification in terms of the type, number and size of investments we make and the value of an investment in us will fluctuate with the performance of the specific assets we acquire. We have certain fixed operating expenses, including certain expenses as a publicly offered REIT, regardless of whether we are able to raise substantial funds in our public offering. Our inability to raise substantial funds would increase our fixed operating expenses as a percentage of gross income, reducing our net income and limiting our ability to make distributions.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future sources of capital include proceeds from secured or unsecured financings from banks or other lenders or proceeds from the sale of assets or collection of loans receivable. </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making investments in accordance with our investment objectives, we expect to use our capital resources to make certain payments to FS Real Estate Advisor and FS Investment Solutions, the dealer manager for our public offering. During the offering stage of our public offering, these payments will include payments to FS Real Estate Advisor and its affiliates for reimbursement of certain organization and offering expenses. We will reimburse FS Real Estate Advisor for the organization and offering costs it or Rialto incurs on our behalf only to the extent that the reimbursement would not cause the selling commissions, dealer manager fees, accountable due diligence expenses, stockholder servicing fees and the other organization and offering expenses borne by us to exceed 15.0% of the gross offering proceeds from the primary offering as the amount of proceeds increases. FS Real Estate Advisor may be reimbursed for any organization and offering expenses that it or Rialto has incurred on our behalf, up to a cap of 0.75% of gross proceeds raised. Future Standard funded our offering costs in the amount of $31,122 for the period from November 7, 2016 (Inception) to June 30, 2026. Through June 30, 2026, we reimbursed $28,186 to FS Real Estate Advisor for offering expenses previously funded. As of June 30, 2026, $2,693 of offering expenses previously funded remained subject to reimbursement to FS Real Estate Advisor and Rialto.</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Subject to the limitations in the advisory agreement and sub-advisory agreement, we expect to make payments to FS Real Estate Advisor in connection with the management of our assets and costs incurred by FS Real Estate Advisor and Rialto in providing services to us. The advisory agreement has a one-year term but may be renewed for an unlimited number of successive one-year periods upon the mutual consent of FS Real Estate Advisor and our board of directors. On November 12, 2025, our board of directors approved the renewal of the advisory agreement effective as of December 1, 2025 for an additional one-year term expiring December 1, 2026. For a discussion of the compensation to be paid to FS Real Estate Advisor and FS Investment Solutions, see Note 7 to our unaudited consolidated financial statements included herein.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net change in our cash and cash equivalents and restricted cash:</w:t>
      </w:r>
    </w:p>
    <w:tbl>
      <w:tblPr>
        <w:tblW w:w="8826" w:type="dxa"/>
        <w:jc w:val="left"/>
        <w:tblInd w:w="0" w:type="dxa"/>
        <w:tblLayout w:type="fixed"/>
        <w:tblCellMar>
          <w:top w:w="28" w:type="dxa"/>
          <w:left w:w="28" w:type="dxa"/>
          <w:bottom w:w="28" w:type="dxa"/>
          <w:right w:w="28" w:type="dxa"/>
        </w:tblCellMar>
      </w:tblPr>
      <w:tblGrid>
        <w:gridCol w:w="2122"/>
        <w:gridCol w:w="1869"/>
        <w:gridCol w:w="1874"/>
        <w:gridCol w:w="109"/>
        <w:gridCol w:w="109"/>
        <w:gridCol w:w="109"/>
        <w:gridCol w:w="211"/>
        <w:gridCol w:w="901"/>
        <w:gridCol w:w="109"/>
        <w:gridCol w:w="109"/>
        <w:gridCol w:w="109"/>
        <w:gridCol w:w="109"/>
        <w:gridCol w:w="211"/>
        <w:gridCol w:w="721"/>
        <w:gridCol w:w="154"/>
      </w:tblGrid>
      <w:tr>
        <w:trPr/>
        <w:tc>
          <w:tcPr>
            <w:tcW w:w="2122"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87,430 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(525,507)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(139,212)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50,214 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operating activities decreased $9,027 during the six months ended June 30, 2026 compared to the corresponding period in 2025 primarily due to the change in non-cash other income items in addition to the change in other assets and accrued expenses during the period. </w:t>
      </w:r>
    </w:p>
    <w:p>
      <w:pPr>
        <w:pStyle w:val="TextBody"/>
        <w:bidi w:val="0"/>
        <w:spacing w:lineRule="auto" w:line="288" w:before="120" w:after="120"/>
        <w:ind w:left="0" w:right="0" w:firstLine="450"/>
        <w:jc w:val="left"/>
        <w:rPr/>
      </w:pPr>
      <w:r>
        <w:rPr>
          <w:rFonts w:ascii="Times New Roman;serif" w:hAnsi="Times New Roman;serif"/>
          <w:b w:val="false"/>
          <w:color w:val="000000"/>
          <w:sz w:val="20"/>
        </w:rPr>
        <w:t>Cash flows used in investing activities decreased $511,521 during the six months ended June 30, 2026 com</w:t>
      </w:r>
      <w:r>
        <w:rPr>
          <w:rFonts w:ascii="Times New Roman;serif" w:hAnsi="Times New Roman;serif"/>
          <w:b w:val="false"/>
          <w:color w:val="000000"/>
          <w:sz w:val="20"/>
          <w:shd w:fill="FFFFFF" w:val="clear"/>
        </w:rPr>
        <w:t xml:space="preserve">pared to the corresponding period in 2025 primarily due to the increase in origination and fundings of loans receivables of </w:t>
      </w:r>
      <w:r>
        <w:rPr>
          <w:rFonts w:ascii="Times New Roman;serif" w:hAnsi="Times New Roman;serif"/>
          <w:b w:val="false"/>
          <w:color w:val="000000"/>
          <w:sz w:val="20"/>
        </w:rPr>
        <w:t>$1,064,521, offset by</w:t>
      </w:r>
      <w:r>
        <w:rPr>
          <w:color w:val="000000"/>
          <w:shd w:fill="FFFFFF" w:val="clear"/>
        </w:rPr>
        <w:t xml:space="preserve"> </w:t>
      </w:r>
      <w:r>
        <w:rPr>
          <w:rFonts w:ascii="Times New Roman;serif" w:hAnsi="Times New Roman;serif"/>
          <w:b w:val="false"/>
          <w:color w:val="000000"/>
          <w:sz w:val="20"/>
          <w:shd w:fill="FFFFFF" w:val="clear"/>
        </w:rPr>
        <w:t xml:space="preserve">a net increase in principal collections from loans receivable, held-for-investment </w:t>
      </w:r>
      <w:r>
        <w:rPr>
          <w:rFonts w:ascii="Times New Roman;serif" w:hAnsi="Times New Roman;serif"/>
          <w:b w:val="false"/>
          <w:color w:val="000000"/>
          <w:sz w:val="20"/>
        </w:rPr>
        <w:t>$376,745</w:t>
      </w:r>
      <w:r>
        <w:rPr>
          <w:rFonts w:ascii="Times New Roman;serif" w:hAnsi="Times New Roman;serif"/>
          <w:b w:val="false"/>
          <w:color w:val="000000"/>
          <w:sz w:val="20"/>
          <w:shd w:fill="FFFFFF" w:val="clear"/>
        </w:rPr>
        <w: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financing activities increased $313,068 during the six months ended June 30, 2026 compared to the corresponding period in 2025 primarily due to a net increase in proceeds from borrowing activity of $322,385.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utilize our credit and repurchase facilities primarily to finance our loan originations on a short-term basis prior to loan securitizations, including through CLOs. The timing, size, and frequency of our securitizations impact the balances of these borrowings, and produce some fluctuations. The following table provides additional information regarding the balances of our borrowings:</w:t>
      </w:r>
    </w:p>
    <w:tbl>
      <w:tblPr>
        <w:tblW w:w="10205" w:type="dxa"/>
        <w:jc w:val="left"/>
        <w:tblInd w:w="0" w:type="dxa"/>
        <w:tblLayout w:type="fixed"/>
        <w:tblCellMar>
          <w:top w:w="28" w:type="dxa"/>
          <w:left w:w="28" w:type="dxa"/>
          <w:bottom w:w="28" w:type="dxa"/>
          <w:right w:w="28" w:type="dxa"/>
        </w:tblCellMar>
      </w:tblPr>
      <w:tblGrid>
        <w:gridCol w:w="539"/>
        <w:gridCol w:w="397"/>
        <w:gridCol w:w="398"/>
        <w:gridCol w:w="109"/>
        <w:gridCol w:w="109"/>
        <w:gridCol w:w="109"/>
        <w:gridCol w:w="414"/>
        <w:gridCol w:w="1919"/>
        <w:gridCol w:w="214"/>
        <w:gridCol w:w="109"/>
        <w:gridCol w:w="109"/>
        <w:gridCol w:w="109"/>
        <w:gridCol w:w="380"/>
        <w:gridCol w:w="1760"/>
        <w:gridCol w:w="196"/>
        <w:gridCol w:w="109"/>
        <w:gridCol w:w="109"/>
        <w:gridCol w:w="109"/>
        <w:gridCol w:w="472"/>
        <w:gridCol w:w="2185"/>
        <w:gridCol w:w="350"/>
      </w:tblGrid>
      <w:tr>
        <w:trPr/>
        <w:tc>
          <w:tcPr>
            <w:tcW w:w="53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Average 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 of Period Unpaid 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Unpaid Principal Balance at Any Month-End</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3,076,190 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3,414,558 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3,354,385 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3,074,256 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3,716,782 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2,894,173 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3,735,493 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3,735,493 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2,595,015 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2,465,384 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2,621,542 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2,655,737 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2,642,231 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2,685,156 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conformity with GAAP, which requires us to make estimates and assumptions that affect the reported amounts of assets and liabilities, and disclosure of contingent assets and liabilities, at the date of the financial statements and the reported amounts of revenues and expenses during the reporting periods. Refer to the section of our Form 10-K </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entitled “Management’s Discussion and Analysis of Financial Condition and Results of Operations—Critical Accounting Policies and Estimates” for a full discussion of our critical accounting policies and estimates. There have been no material changes to our critical accounting policies and estimates described in our Annual Report on Form 10-K for the fiscal year ended December 31, 2025. See Note 2 to our unaudited consolidated financial statements included herein for additional information regarding our accounting policies and significant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Compensation of FS Real Estate Advisor, Rialto and the Dealer Manager</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advisory agreement, FS Real Estate Advisor is entitled to an annual base management fee equal to 1.25% of the NAV for our Class T, Class S, Class D, Class M and Class I shares and a performance fee in an amount equal to 10.0% of the Core Earnings for the immediately preceding quarter, subject to a hurdle rate, expressed as a rate of return on average adjusted capital, equal to 1.625% per quarter, or an annualized hurdle rate of 6.5%. We also reimburse FS Real Estate Advisor and Rialto for their actual cost incurred on providing administrative services to us, including the allocable portion of compensation and related expenses of certain personnel providing such administrative services. Further, origination fees of up to 1.0% of the loan amount for first lien, subordinated or mezzanine debt or preferred equity financing may be retained by Rialto or FS Real Estate Advisor. FS Real Estate Advisor has also received compensation for the structuring and negotiation of certain financing arrangements. Pursuant to the advisory agreement, we will reimburse FS Real Estate Advisor and its affiliates for expenses incurred relating to our organization and continuous public offering, including the allocable portion of compensation and related expenses of certain personnel of Future Standard related thereto. FS Real Estate Advisor previously agreed to advance all of our organization and offering expenses until we raised $250,000 of gross proceeds from our public offering. In April 2020, FS Real Estate Advisor and Rialto agreed to defer the recoupment of any organization and offering expenses that may be reimbursable by us under the advisory agreement with respect to gross proceeds raised in the offering in excess of $250,000 until FS Real Estate Advisor, in its sole discretion, determined that we had achieved economies of scale sufficient to ensure that we could bear a reasonable level of expenses in relation to our income. We began reimbursing FS Real Estate Advisor in September 2020 and, as such, FS Real Estate Advisor may be reimbursed for any organization and offering expenses that it or Rialto has incurred on our behalf, up to a cap of 0.75% of gross proceeds raised after such time.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dealer manager for our continuous public offering is FS Investment Solutions, which is an affiliate of FS Real Estate Advisor. Under the Dealer Manager Agreement, FS Investment Solutions is entitled to receive upfront selling commissions and dealer manager fees in connection with the sale of shares of common stock in our continuous public offering. FS Investment Solutions anticipates that all of the selling commissions and dealer manager fees will be reallowed to participating broker-dealers, unless a particular broker-dealer declines to accept some portion of the dealer manager fee they are otherwise eligible to receive. FS Investment Solutions is also entitled to receive stockholder servicing fees, which accrue daily and are paid on a monthly basis. FS Investment Solutions will reallow such stockholder servicing fees to participating broker-dealers, servicing broker-dealers and financial institutions (including bank trust departments) and will waive (pay back to us) stockholder servicing fees to the extent a broker-dealer or financial institution is not eligible or otherwise declines to receive all or a portion of such fees.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See Note 7 to our unaudited consolidated financial statements included herein for additional information regarding our related party transactions and relationships, including a description of the fees and amounts due to FS Real Estate Advisor, compensation of FS Investment Solutions, capital contributions by Future Standard and Rialto and, our Expense Limitation Agreement with Future Standard.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FS Investment Solutions also serves or served as the placement agent for our private offerings pursuant to placement agreements. FS Investment Solutions does not receive any compensation pursuant to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financial market risks, including changes in interest rates. As of June 30, 2026, 95% of the outstanding principal of our debt investments were floating-rate investments. A rise in the general level of interest rates can be expected to lead to higher interest rates applicable to any variable rate investments we may hold and to declines in the value of any fixed rate investments we may hold. However, many of our variable rate investments provide for an interest rate floor, which may prevent our interest income from increasing until benchmark interest rates increase beyond a threshold amount. To the extent that a substantial portion of our investments may be in variable rate investments, an increase in interest rates beyond this threshold would make it easier for us to meet or exceed our performance fee hurdle rate and may result in a substantial increase in our net investment income and the amount of performance fees payable to FS Real Estate Advisor.</w:t>
      </w:r>
    </w:p>
    <w:p>
      <w:pPr>
        <w:pStyle w:val="TextBody"/>
        <w:bidi w:val="0"/>
        <w:spacing w:lineRule="auto" w:line="268"/>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FS Rialto 2021-FL2, 2021-FL3, 2024-FL9, 2025-FL10, and 2026-FL11 the WF-1 Facility, the GS-1 Facility, the BB-1 Facility, the MS-1 Facility, the Barclays Revolving Credit Facility, the NTX-1 Facility, the BMO-1 Facility, the Lucid Facility, the Natixis loan, the MM-1 Facility, the WF-2 Facility, the CB-1 Facility, the Finance Blue Facility, the JP-1 Facility, the CO-1 Facility, and the Citi Facility borrowings are at a floating-rate based on SOFR, and the pricing rate for any specific transaction executed under the RBC Facility may be charged, pursuant to the terms agreed for that transaction, at a floating-rate based on SOFR. To the extent that any present or future credit facilities or other financing arrangements that we or any of our subsidiaries enter into are based on a floating interest rate, we will be subject to risks relating to changes in market interest rates. In periods of </w:t>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rising interest rates, when we have debt outstanding, our cost of funds would increase, which could reduce our net investment income, especially to the extent we hold fixed rate investments.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seek to limit the impact of rising interest rates on earnings and cash flows through the use of derivative financial instruments to hedge exposures to changes in interest rates on loans secured by our assets.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The following table shows the effect over a twelve-month period of changes in interest rates on our interest income, interest expense, and net interest income, assuming no changes in the composition of our investment portfolio, including the accrual status of our investments, and our financing arrangements in effect as of June 30, 2026</w:t>
      </w:r>
      <w:r>
        <w:rPr>
          <w:rFonts w:ascii="Times New Roman;serif" w:hAnsi="Times New Roman;serif"/>
          <w:b w:val="false"/>
          <w:color w:val="231F20"/>
          <w:sz w:val="20"/>
        </w:rPr>
        <w:t>:</w:t>
      </w:r>
    </w:p>
    <w:tbl>
      <w:tblPr>
        <w:tblW w:w="10205" w:type="dxa"/>
        <w:jc w:val="left"/>
        <w:tblInd w:w="0" w:type="dxa"/>
        <w:tblLayout w:type="fixed"/>
        <w:tblCellMar>
          <w:top w:w="28" w:type="dxa"/>
          <w:left w:w="28" w:type="dxa"/>
          <w:bottom w:w="28" w:type="dxa"/>
          <w:right w:w="28" w:type="dxa"/>
        </w:tblCellMar>
      </w:tblPr>
      <w:tblGrid>
        <w:gridCol w:w="580"/>
        <w:gridCol w:w="510"/>
        <w:gridCol w:w="514"/>
        <w:gridCol w:w="109"/>
        <w:gridCol w:w="109"/>
        <w:gridCol w:w="109"/>
        <w:gridCol w:w="343"/>
        <w:gridCol w:w="1259"/>
        <w:gridCol w:w="177"/>
        <w:gridCol w:w="109"/>
        <w:gridCol w:w="109"/>
        <w:gridCol w:w="109"/>
        <w:gridCol w:w="349"/>
        <w:gridCol w:w="1279"/>
        <w:gridCol w:w="180"/>
        <w:gridCol w:w="109"/>
        <w:gridCol w:w="109"/>
        <w:gridCol w:w="109"/>
        <w:gridCol w:w="389"/>
        <w:gridCol w:w="1238"/>
        <w:gridCol w:w="201"/>
        <w:gridCol w:w="109"/>
        <w:gridCol w:w="109"/>
        <w:gridCol w:w="109"/>
        <w:gridCol w:w="393"/>
        <w:gridCol w:w="378"/>
        <w:gridCol w:w="1107"/>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Basis Point Changes in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Change in Net Interest Income</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Down 50 basis points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Down 25 basis points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ind w:left="0" w:right="0" w:firstLine="45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Decrease in rates assumes SOFR does not decrease below 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June 30, 2026.</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 foregoing, our chief executive officer and chief financial officer concluded that our disclosure controls and procedures were effective to provide reasonable assurance that we would meet our disclosure obligations.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Exchange Act Rules 13a-15(f) or 15d-15(f)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currently subject to any material legal proceedings, nor, to our knowledge, is any material legal proceeding threatened against us. From time to time, we may be party to certain legal proceedings in the ordinary course of business, including proceedings relating to the enforcement of our rights under contracts with our portfolio companies. While the outcome of any legal proceedings cannot be predicted with certainty, we do not expect that these proceedings will have a material adverse effect upon our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that appeared under Item 1A. "Risk Factors" in our most recent Annual Report on Form 10-K, as supplemented by this Quarterly Report on Form 10-Q. There are no material changes from the risk factors included within our most recent Annual Report on Form 10-K for the year ended December 31,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adopted the Share Repurchase Plan, whereby on a monthly basis, stockholders may request that we repurchase all or any portion of their shares. The repurchase of shares is limited to no more than 2% of our aggregate NAV per month of all classes of shares then participating in our Share Repurchase Plan and no more than 5% of our aggregate NAV per calendar quarter of all classes of shares then participating in our Share Repurchase Plan, which means that in any 12-month period, we limit repurchases to approximately 20% of the total NAV of all classes of shares then participating in the Share Repurchase Plan.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shares of our common stock in the following amounts, which represented all of the share repurchase requests received for the same period:</w:t>
      </w:r>
    </w:p>
    <w:tbl>
      <w:tblPr>
        <w:tblW w:w="10205" w:type="dxa"/>
        <w:jc w:val="left"/>
        <w:tblInd w:w="0" w:type="dxa"/>
        <w:tblLayout w:type="fixed"/>
        <w:tblCellMar>
          <w:top w:w="28" w:type="dxa"/>
          <w:left w:w="28" w:type="dxa"/>
          <w:bottom w:w="28" w:type="dxa"/>
          <w:right w:w="28" w:type="dxa"/>
        </w:tblCellMar>
      </w:tblPr>
      <w:tblGrid>
        <w:gridCol w:w="349"/>
        <w:gridCol w:w="307"/>
        <w:gridCol w:w="309"/>
        <w:gridCol w:w="109"/>
        <w:gridCol w:w="109"/>
        <w:gridCol w:w="109"/>
        <w:gridCol w:w="723"/>
        <w:gridCol w:w="472"/>
        <w:gridCol w:w="474"/>
        <w:gridCol w:w="109"/>
        <w:gridCol w:w="109"/>
        <w:gridCol w:w="109"/>
        <w:gridCol w:w="289"/>
        <w:gridCol w:w="846"/>
        <w:gridCol w:w="149"/>
        <w:gridCol w:w="109"/>
        <w:gridCol w:w="109"/>
        <w:gridCol w:w="109"/>
        <w:gridCol w:w="1000"/>
        <w:gridCol w:w="781"/>
        <w:gridCol w:w="783"/>
        <w:gridCol w:w="109"/>
        <w:gridCol w:w="109"/>
        <w:gridCol w:w="109"/>
        <w:gridCol w:w="704"/>
        <w:gridCol w:w="704"/>
        <w:gridCol w:w="1007"/>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of Shares that May Yet Be Purchased Under the Plans or Programs</w:t>
            </w:r>
            <w:r>
              <w:rPr>
                <w:rFonts w:ascii="Times New Roman;serif" w:hAnsi="Times New Roman;serif"/>
                <w:b/>
                <w:color w:val="000000"/>
                <w:sz w:val="13"/>
              </w:rPr>
              <w:t>(1)</w:t>
            </w:r>
          </w:p>
        </w:tc>
      </w:tr>
      <w:tr>
        <w:trPr/>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1,890,944 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1,890,944 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1,314,603 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1,314,603 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1,223,264 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1,223,264 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4,428,811 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4,428,811 </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540"/>
        <w:jc w:val="left"/>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18"/>
        </w:rPr>
        <w:t>Repurchases are limited as described above.</w:t>
      </w:r>
    </w:p>
    <w:p>
      <w:pPr>
        <w:pStyle w:val="TextBody"/>
        <w:bidi w:val="0"/>
        <w:spacing w:before="0" w:after="0"/>
        <w:ind w:left="0" w:right="0" w:hanging="540"/>
        <w:jc w:val="left"/>
        <w:rPr/>
      </w:pPr>
      <w:r>
        <w:rPr/>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8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18"/>
        <w:gridCol w:w="223"/>
        <w:gridCol w:w="109"/>
        <w:gridCol w:w="109"/>
        <w:gridCol w:w="109"/>
        <w:gridCol w:w="2745"/>
        <w:gridCol w:w="2660"/>
        <w:gridCol w:w="3765"/>
      </w:tblGrid>
      <w:tr>
        <w:trPr/>
        <w:tc>
          <w:tcPr>
            <w:tcW w:w="2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0" w:type="dxa"/>
            <w:gridSpan w:val="3"/>
            <w:tcBorders/>
            <w:vAlign w:val="center"/>
          </w:tcPr>
          <w:p>
            <w:pPr>
              <w:pStyle w:val="TableContents"/>
              <w:bidi w:val="0"/>
              <w:spacing w:before="0" w:after="283"/>
              <w:jc w:val="left"/>
              <w:rPr>
                <w:sz w:val="4"/>
                <w:szCs w:val="4"/>
              </w:rPr>
            </w:pPr>
            <w:r>
              <w:rPr>
                <w:sz w:val="4"/>
                <w:szCs w:val="4"/>
              </w:rPr>
            </w:r>
          </w:p>
        </w:tc>
      </w:tr>
      <w:tr>
        <w:trPr/>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0" w:type="dxa"/>
            <w:gridSpan w:val="3"/>
            <w:tcBorders/>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5">
              <w:r>
                <w:rPr>
                  <w:rStyle w:val="InternetLink"/>
                  <w:rFonts w:ascii="Times New Roman;serif" w:hAnsi="Times New Roman;serif"/>
                  <w:b w:val="false"/>
                  <w:color w:val="0000FF"/>
                  <w:sz w:val="18"/>
                  <w:u w:val="single"/>
                </w:rPr>
                <w:t>Second Articles of Amendment and Restatement (incorporated by reference to Exhibit 3.1 of the Registrant’s Registration Statement on Form S-11, as filed by the Registrant with the SEC on September 7, 2017)</w:t>
              </w:r>
            </w:hyperlink>
            <w:r>
              <w:rPr>
                <w:rFonts w:ascii="Times New Roman;serif" w:hAnsi="Times New Roman;serif"/>
                <w:b w:val="false"/>
                <w:color w:val="0000FF"/>
                <w:sz w:val="18"/>
              </w:rPr>
              <w: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6">
              <w:r>
                <w:rPr>
                  <w:rStyle w:val="InternetLink"/>
                  <w:rFonts w:ascii="Times New Roman;serif" w:hAnsi="Times New Roman;serif"/>
                  <w:b w:val="false"/>
                  <w:color w:val="0000FF"/>
                  <w:sz w:val="18"/>
                  <w:u w:val="single"/>
                </w:rPr>
                <w:t>Articles of Amendment (incorporated by reference to Exhibit 3.1 of the Registrant’s Current Report on Form 8-K, as filed by the Registrant with the SEC on August 17, 2018).</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7">
              <w:r>
                <w:rPr>
                  <w:rStyle w:val="InternetLink"/>
                  <w:rFonts w:ascii="Times New Roman;serif" w:hAnsi="Times New Roman;serif"/>
                  <w:b w:val="false"/>
                  <w:color w:val="0000FF"/>
                  <w:sz w:val="18"/>
                  <w:u w:val="single"/>
                </w:rPr>
                <w:t>Second Articles of Amendment (incorporated by reference to Exhibit 3.3 of the Registrant’s Quarterly Report on Form 10-Q, as filed by the Registrant with the SEC on August 14, 2019).</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8">
              <w:r>
                <w:rPr>
                  <w:rStyle w:val="InternetLink"/>
                  <w:rFonts w:ascii="Times New Roman;serif" w:hAnsi="Times New Roman;serif"/>
                  <w:b w:val="false"/>
                  <w:color w:val="0000FF"/>
                  <w:sz w:val="18"/>
                  <w:u w:val="single"/>
                </w:rPr>
                <w:t>Third Articles of Amendment (incorporated by reference to Exhibit 3.1 of the Registrant’s Current Report on Form 8-K, as filed by the Registrant with the SEC on April 28, 2022).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erif" w:hAnsi="Times New Roman;serif"/>
                  <w:b w:val="false"/>
                  <w:color w:val="0000FF"/>
                  <w:sz w:val="18"/>
                  <w:u w:val="single"/>
                </w:rPr>
                <w:t>Bylaws (incorporated by reference to Exhibit 3.2 of the Registrant’s Registration Statement on Form S-11, as filed by the Registrant with the SEC on February 13, 2017).</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"https://www.sec.gov/Archives/edgar/data/1690536/000110465925095660/tm2526365-1_s11.htm" \l "tAPB"</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Amended and Restated Distribution Reinvestment Plan (incorporated by reference to Exhibit 4.2 of the Registrant’s Registration Statement on Form S-11, as filed by the Registrant with the SEC on April 10, 2026).</w:t>
            </w:r>
            <w:r>
              <w:rPr>
                <w:rStyle w:val="InternetLink"/>
                <w:sz w:val="18"/>
                <w:u w:val="single"/>
                <w:b w:val="false"/>
                <w:rFonts w:ascii="Times New Roman;serif" w:hAnsi="Times New Roman;serif"/>
                <w:color w:val="0000FF"/>
              </w:rPr>
              <w:fldChar w:fldCharType="end"/>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Certification of Chief Executive Officer and Chief Financial Officer, pursuant to Section 906 of the Sarbanes-Oxley Act of 2002.</w:t>
              </w:r>
            </w:hyperlink>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Inline XBRL Taxonomy Extension Labels Linkbase Document. </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lineRule="auto" w:line="288" w:before="6" w:after="6"/>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p>
      <w:pPr>
        <w:pStyle w:val="TextBody"/>
        <w:bidi w:val="0"/>
        <w:spacing w:lineRule="auto" w:line="288" w:before="6" w:after="6"/>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6" w:after="6"/>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    This exhibit shall not be deemed "filed" for purposes of Section 18 of the Exchange Act or otherwise subject to the liability of that Section. Such exhibit shall not be deemed incorporated into any filing under the Securities Act or the Exchange Act. </w:t>
      </w:r>
    </w:p>
    <w:p>
      <w:pPr>
        <w:pStyle w:val="TextBody"/>
        <w:bidi w:val="0"/>
        <w:spacing w:before="0" w:after="6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65feb3b3da9443992561c24f69f838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331"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to be signed on its behalf by the undersigned, thereunto duly authorized on August 14, 2026.</w:t>
      </w:r>
    </w:p>
    <w:p>
      <w:pPr>
        <w:pStyle w:val="TextBody"/>
        <w:bidi w:val="0"/>
        <w:spacing w:before="0" w:after="0"/>
        <w:jc w:val="right"/>
        <w:rPr/>
      </w:pPr>
      <w:r>
        <w:rPr/>
      </w:r>
    </w:p>
    <w:tbl>
      <w:tblPr>
        <w:tblW w:w="9396" w:type="dxa"/>
        <w:jc w:val="right"/>
        <w:tblInd w:w="0" w:type="dxa"/>
        <w:tblLayout w:type="fixed"/>
        <w:tblCellMar>
          <w:top w:w="28" w:type="dxa"/>
          <w:left w:w="28" w:type="dxa"/>
          <w:bottom w:w="28" w:type="dxa"/>
          <w:right w:w="28" w:type="dxa"/>
        </w:tblCellMar>
      </w:tblPr>
      <w:tblGrid>
        <w:gridCol w:w="124"/>
        <w:gridCol w:w="676"/>
        <w:gridCol w:w="676"/>
        <w:gridCol w:w="676"/>
        <w:gridCol w:w="2099"/>
        <w:gridCol w:w="2099"/>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 CREDIT REAL ESTATE INCOME TRUST,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C. FORMAN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C. Forman</w:t>
              <w:br/>
              <w:t>Chief Executive Officer, President and Chairman</w:t>
              <w:br/>
              <w:t>(Principal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GOLD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Brian Gold</w:t>
              <w:br/>
              <w:t xml:space="preserve">Chief Financial Officer and Treasurer (Principal Financial and Accounting Officer)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7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t>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Wingdings">
    <w:altName w:val="sans-serif"/>
    <w:charset w:val="02"/>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s://www.sec.gov/Archives/edgar/data/1690536/000119312517279375/d259140dex31.htm" TargetMode="External"/><Relationship Id="rId6" Type="http://schemas.openxmlformats.org/officeDocument/2006/relationships/hyperlink" Target="https://www.sec.gov/Archives/edgar/data/1690536/000138713118004080/ex3-1.htm" TargetMode="External"/><Relationship Id="rId7" Type="http://schemas.openxmlformats.org/officeDocument/2006/relationships/hyperlink" Target="https://www.sec.gov/Archives/edgar/data/1690536/000119312519221229/d788024dex33.htm" TargetMode="External"/><Relationship Id="rId8" Type="http://schemas.openxmlformats.org/officeDocument/2006/relationships/hyperlink" Target="https://www.sec.gov/Archives/edgar/data/0001690536/000119312522124324/d333610dex31.htm" TargetMode="External"/><Relationship Id="rId9" Type="http://schemas.openxmlformats.org/officeDocument/2006/relationships/hyperlink" Target="https://www.sec.gov/Archives/edgar/data/1690536/000119312517040684/d259140dex32.htm" TargetMode="External"/><Relationship Id="rId10" Type="http://schemas.openxmlformats.org/officeDocument/2006/relationships/hyperlink" Target="https://www.sec.gov/Archives/edgar/data/1690536/000162828026057041/ceoexhibit311q226.htm" TargetMode="External"/><Relationship Id="rId11" Type="http://schemas.openxmlformats.org/officeDocument/2006/relationships/hyperlink" Target="https://www.sec.gov/Archives/edgar/data/1690536/000162828026057041/cfoexhibit312q226.htm" TargetMode="External"/><Relationship Id="rId12" Type="http://schemas.openxmlformats.org/officeDocument/2006/relationships/hyperlink" Target="https://www.sec.gov/Archives/edgar/data/1690536/000162828026057041/exhibit321q226.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41844</Words>
  <Characters>229474</Characters>
  <CharactersWithSpaces>268076</CharactersWithSpaces>
  <Paragraphs>7307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