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7"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75" w:lineRule="exact"/>
        <w:rPr>
          <w:sz w:val="24"/>
          <w:szCs w:val="24"/>
          <w:color w:val="auto"/>
        </w:rPr>
      </w:pPr>
    </w:p>
    <w:p>
      <w:pPr>
        <w:ind w:left="300" w:right="80"/>
        <w:spacing w:after="0" w:line="26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-173355</wp:posOffset>
            </wp:positionV>
            <wp:extent cx="109855" cy="109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109855"/>
                    </a:xfrm>
                    <a:prstGeom prst="rect">
                      <a:avLst/>
                    </a:prstGeom>
                    <a:noFill/>
                  </pic:spPr>
                </pic:pic>
              </a:graphicData>
            </a:graphic>
          </wp:anchor>
        </w:drawing>
      </w:r>
    </w:p>
    <w:p>
      <w:pPr>
        <w:spacing w:after="0" w:line="203" w:lineRule="exact"/>
        <w:rPr>
          <w:sz w:val="24"/>
          <w:szCs w:val="24"/>
          <w:color w:val="auto"/>
        </w:rPr>
      </w:pPr>
    </w:p>
    <w:p>
      <w:pPr>
        <w:ind w:left="300"/>
        <w:spacing w:after="0" w:line="248"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-520065</wp:posOffset>
            </wp:positionV>
            <wp:extent cx="109855" cy="109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855" cy="1098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jc w:val="center"/>
              <w:ind w:right="485"/>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jc w:val="center"/>
              <w:ind w:right="485"/>
              <w:spacing w:after="0" w:line="129"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59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5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jc w:val="center"/>
              <w:ind w:right="485"/>
              <w:spacing w:after="0" w:line="165" w:lineRule="exact"/>
              <w:rPr>
                <w:sz w:val="20"/>
                <w:szCs w:val="20"/>
                <w:color w:val="auto"/>
              </w:rPr>
            </w:pPr>
            <w:r>
              <w:rPr>
                <w:rFonts w:ascii="Arial" w:cs="Arial" w:eastAsia="Arial" w:hAnsi="Arial"/>
                <w:sz w:val="18"/>
                <w:szCs w:val="18"/>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vMerge w:val="restart"/>
          </w:tcPr>
          <w:p>
            <w:pPr>
              <w:jc w:val="center"/>
              <w:ind w:right="485"/>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5076825</wp:posOffset>
            </wp:positionH>
            <wp:positionV relativeFrom="paragraph">
              <wp:posOffset>-562610</wp:posOffset>
            </wp:positionV>
            <wp:extent cx="54610" cy="575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5945"/>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-562610</wp:posOffset>
            </wp:positionV>
            <wp:extent cx="54610" cy="575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 cy="57594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-1845945</wp:posOffset>
            </wp:positionH>
            <wp:positionV relativeFrom="paragraph">
              <wp:posOffset>589280</wp:posOffset>
            </wp:positionV>
            <wp:extent cx="7007225" cy="5942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7225" cy="5942965"/>
                    </a:xfrm>
                    <a:prstGeom prst="rect">
                      <a:avLst/>
                    </a:prstGeom>
                    <a:noFill/>
                  </pic:spPr>
                </pic:pic>
              </a:graphicData>
            </a:graphic>
          </wp:anchor>
        </w:drawing>
      </w:r>
    </w:p>
    <w:p>
      <w:pPr>
        <w:spacing w:after="0" w:line="983" w:lineRule="exact"/>
        <w:rPr>
          <w:sz w:val="24"/>
          <w:szCs w:val="24"/>
          <w:color w:val="auto"/>
        </w:rPr>
      </w:pPr>
    </w:p>
    <w:p>
      <w:pPr>
        <w:sectPr>
          <w:pgSz w:w="11900" w:h="16838" w:orient="portrait"/>
          <w:cols w:equalWidth="0" w:num="2">
            <w:col w:w="2260" w:space="620"/>
            <w:col w:w="8200"/>
          </w:cols>
          <w:pgMar w:left="460" w:top="209" w:right="359" w:bottom="1440" w:gutter="0" w:footer="0" w:header="0"/>
        </w:sectPr>
      </w:pPr>
    </w:p>
    <w:p>
      <w:pPr>
        <w:spacing w:after="0" w:line="9"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KRASNOFF JEFFREY P</w:t>
        </w:r>
      </w:hyperlink>
    </w:p>
    <w:p>
      <w:pPr>
        <w:spacing w:after="0" w:line="27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0"/>
          <w:szCs w:val="10"/>
          <w:color w:val="auto"/>
        </w:rPr>
        <w:t>(Middle)</w:t>
      </w:r>
    </w:p>
    <w:p>
      <w:pPr>
        <w:spacing w:after="0" w:line="58" w:lineRule="exact"/>
        <w:rPr>
          <w:sz w:val="24"/>
          <w:szCs w:val="24"/>
          <w:color w:val="auto"/>
        </w:rPr>
      </w:pPr>
    </w:p>
    <w:p>
      <w:pPr>
        <w:ind w:left="100"/>
        <w:spacing w:after="0" w:line="351" w:lineRule="auto"/>
        <w:rPr>
          <w:sz w:val="20"/>
          <w:szCs w:val="20"/>
          <w:color w:val="auto"/>
        </w:rPr>
      </w:pPr>
      <w:r>
        <w:rPr>
          <w:rFonts w:ascii="Times New Roman" w:cs="Times New Roman" w:eastAsia="Times New Roman" w:hAnsi="Times New Roman"/>
          <w:sz w:val="15"/>
          <w:szCs w:val="15"/>
          <w:color w:val="0000FF"/>
        </w:rPr>
        <w:t>FS CREDIT REAL ESTATE INCOME TRUST, INC. 3025 JFK BOULEVARD, OFC 500</w:t>
      </w:r>
    </w:p>
    <w:p>
      <w:pPr>
        <w:spacing w:after="0" w:line="155" w:lineRule="exact"/>
        <w:rPr>
          <w:sz w:val="24"/>
          <w:szCs w:val="24"/>
          <w:color w:val="auto"/>
        </w:rPr>
      </w:pPr>
    </w:p>
    <w:tbl>
      <w:tblPr>
        <w:tblLayout w:type="fixed"/>
        <w:tblInd w:w="60" w:type="dxa"/>
        <w:tblCellMar>
          <w:top w:w="0" w:type="dxa"/>
          <w:left w:w="0" w:type="dxa"/>
          <w:bottom w:w="0" w:type="dxa"/>
          <w:right w:w="0" w:type="dxa"/>
        </w:tblCellMar>
      </w:tblPr>
      <w:tr>
        <w:trPr>
          <w:trHeight w:val="151"/>
        </w:trPr>
        <w:tc>
          <w:tcPr>
            <w:tcW w:w="1960" w:type="dxa"/>
            <w:vAlign w:val="bottom"/>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13"/>
                <w:szCs w:val="13"/>
                <w:color w:val="auto"/>
              </w:rPr>
            </w:pPr>
          </w:p>
        </w:tc>
      </w:tr>
      <w:tr>
        <w:trPr>
          <w:trHeight w:val="205"/>
        </w:trPr>
        <w:tc>
          <w:tcPr>
            <w:tcW w:w="19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PHILADELPHIA  PA</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19112</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96"/>
        </w:trPr>
        <w:tc>
          <w:tcPr>
            <w:tcW w:w="3840" w:type="dxa"/>
            <w:vAlign w:val="bottom"/>
            <w:gridSpan w:val="4"/>
          </w:tcPr>
          <w:p>
            <w:pPr>
              <w:ind w:left="60"/>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FS Credit Real Estate Income Trust,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5"/>
                <w:szCs w:val="15"/>
                <w:color w:val="0000FF"/>
              </w:rPr>
              <w:t>NONE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178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880" w:type="dxa"/>
            <w:vAlign w:val="bottom"/>
            <w:tcBorders>
              <w:top w:val="single" w:sz="8" w:color="0000EE"/>
            </w:tcBorders>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Pr>
          <w:p>
            <w:pPr>
              <w:ind w:left="580"/>
              <w:spacing w:after="0" w:line="132" w:lineRule="exact"/>
              <w:rPr>
                <w:sz w:val="20"/>
                <w:szCs w:val="20"/>
                <w:color w:val="auto"/>
              </w:rPr>
            </w:pPr>
            <w:r>
              <w:rPr>
                <w:rFonts w:ascii="Arial" w:cs="Arial" w:eastAsia="Arial" w:hAnsi="Arial"/>
                <w:sz w:val="12"/>
                <w:szCs w:val="12"/>
                <w:color w:val="auto"/>
              </w:rPr>
              <w:t>Director</w:t>
            </w:r>
          </w:p>
        </w:tc>
        <w:tc>
          <w:tcPr>
            <w:tcW w:w="1520" w:type="dxa"/>
            <w:vAlign w:val="bottom"/>
          </w:tcPr>
          <w:p>
            <w:pPr>
              <w:ind w:left="380"/>
              <w:spacing w:after="0" w:line="132"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8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520" w:type="dxa"/>
            <w:vAlign w:val="bottom"/>
          </w:tcPr>
          <w:p>
            <w:pPr>
              <w:ind w:left="3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7"/>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1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7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06/30/2026</w:t>
            </w:r>
          </w:p>
        </w:tc>
        <w:tc>
          <w:tcPr>
            <w:tcW w:w="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85" w:lineRule="exact"/>
        <w:rPr>
          <w:sz w:val="24"/>
          <w:szCs w:val="24"/>
          <w:color w:val="auto"/>
        </w:rPr>
      </w:pPr>
    </w:p>
    <w:p>
      <w:pPr>
        <w:sectPr>
          <w:pgSz w:w="11900" w:h="16838" w:orient="portrait"/>
          <w:cols w:equalWidth="0" w:num="2">
            <w:col w:w="3340" w:space="500"/>
            <w:col w:w="7240"/>
          </w:cols>
          <w:pgMar w:left="460" w:top="209" w:right="359" w:bottom="1440" w:gutter="0" w:footer="0" w:header="0"/>
          <w:type w:val="continuous"/>
        </w:sect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0"/>
          <w:szCs w:val="10"/>
          <w:color w:val="auto"/>
        </w:rPr>
        <w:t>(Zip)</w:t>
      </w:r>
    </w:p>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0"/>
                <w:szCs w:val="10"/>
                <w:b w:val="1"/>
                <w:bCs w:val="1"/>
                <w:color w:val="auto"/>
              </w:rPr>
              <w:t>2. Transaction</w:t>
            </w:r>
          </w:p>
        </w:tc>
        <w:tc>
          <w:tcPr>
            <w:tcW w:w="20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120" w:type="dxa"/>
            <w:vAlign w:val="bottom"/>
          </w:tcPr>
          <w:p>
            <w:pPr>
              <w:spacing w:after="0"/>
              <w:rPr>
                <w:sz w:val="20"/>
                <w:szCs w:val="20"/>
                <w:color w:val="auto"/>
              </w:rPr>
            </w:pPr>
            <w:r>
              <w:rPr>
                <w:rFonts w:ascii="Arial" w:cs="Arial" w:eastAsia="Arial" w:hAnsi="Arial"/>
                <w:sz w:val="10"/>
                <w:szCs w:val="10"/>
                <w:b w:val="1"/>
                <w:bCs w:val="1"/>
                <w:color w:val="auto"/>
              </w:rPr>
              <w:t>3.</w:t>
            </w:r>
          </w:p>
        </w:tc>
        <w:tc>
          <w:tcPr>
            <w:tcW w:w="640" w:type="dxa"/>
            <w:vAlign w:val="bottom"/>
          </w:tcPr>
          <w:p>
            <w:pPr>
              <w:spacing w:after="0"/>
              <w:rPr>
                <w:sz w:val="12"/>
                <w:szCs w:val="12"/>
                <w:color w:val="auto"/>
              </w:rPr>
            </w:pPr>
          </w:p>
        </w:tc>
        <w:tc>
          <w:tcPr>
            <w:tcW w:w="202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rPr>
              <w:t>4. Securities Acquired (A) or Disposed</w:t>
            </w: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4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6. Ownership</w:t>
            </w:r>
          </w:p>
        </w:tc>
        <w:tc>
          <w:tcPr>
            <w:tcW w:w="1120" w:type="dxa"/>
            <w:vAlign w:val="bottom"/>
            <w:gridSpan w:val="4"/>
          </w:tcPr>
          <w:p>
            <w:pPr>
              <w:ind w:left="12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0"/>
                <w:szCs w:val="10"/>
                <w:b w:val="1"/>
                <w:bCs w:val="1"/>
                <w:color w:val="auto"/>
              </w:rPr>
              <w:t>Date</w:t>
            </w:r>
          </w:p>
        </w:tc>
        <w:tc>
          <w:tcPr>
            <w:tcW w:w="20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Execution Date,</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Transaction</w:t>
            </w:r>
          </w:p>
        </w:tc>
        <w:tc>
          <w:tcPr>
            <w:tcW w:w="1240" w:type="dxa"/>
            <w:vAlign w:val="bottom"/>
            <w:gridSpan w:val="3"/>
          </w:tcPr>
          <w:p>
            <w:pPr>
              <w:spacing w:after="0"/>
              <w:rPr>
                <w:sz w:val="20"/>
                <w:szCs w:val="20"/>
                <w:color w:val="auto"/>
              </w:rPr>
            </w:pPr>
            <w:r>
              <w:rPr>
                <w:rFonts w:ascii="Arial" w:cs="Arial" w:eastAsia="Arial" w:hAnsi="Arial"/>
                <w:sz w:val="10"/>
                <w:szCs w:val="10"/>
                <w:b w:val="1"/>
                <w:bCs w:val="1"/>
                <w:color w:val="auto"/>
              </w:rPr>
              <w:t>Of (D) (Instr. 3, 4 and 5)</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Securities</w:t>
            </w:r>
          </w:p>
        </w:tc>
        <w:tc>
          <w:tcPr>
            <w:tcW w:w="40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w w:val="99"/>
              </w:rPr>
              <w:t>Form: Direct (D)</w:t>
            </w:r>
          </w:p>
        </w:tc>
        <w:tc>
          <w:tcPr>
            <w:tcW w:w="1120" w:type="dxa"/>
            <w:vAlign w:val="bottom"/>
            <w:gridSpan w:val="4"/>
          </w:tcPr>
          <w:p>
            <w:pPr>
              <w:ind w:left="120"/>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0"/>
                <w:szCs w:val="10"/>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if any</w:t>
            </w: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Code (Instr.</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rPr>
                <w:sz w:val="20"/>
                <w:szCs w:val="20"/>
                <w:color w:val="auto"/>
              </w:rPr>
            </w:pPr>
            <w:r>
              <w:rPr>
                <w:rFonts w:ascii="Arial" w:cs="Arial" w:eastAsia="Arial" w:hAnsi="Arial"/>
                <w:sz w:val="10"/>
                <w:szCs w:val="10"/>
                <w:b w:val="1"/>
                <w:bCs w:val="1"/>
                <w:color w:val="auto"/>
              </w:rPr>
              <w:t>Beneficially Owned</w:t>
            </w: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or Indirect (I)</w:t>
            </w:r>
          </w:p>
        </w:tc>
        <w:tc>
          <w:tcPr>
            <w:tcW w:w="1120" w:type="dxa"/>
            <w:vAlign w:val="bottom"/>
            <w:gridSpan w:val="4"/>
          </w:tcPr>
          <w:p>
            <w:pPr>
              <w:ind w:left="12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(Month/Day/Year)</w:t>
            </w:r>
          </w:p>
        </w:tc>
        <w:tc>
          <w:tcPr>
            <w:tcW w:w="120" w:type="dxa"/>
            <w:vAlign w:val="bottom"/>
          </w:tcPr>
          <w:p>
            <w:pPr>
              <w:spacing w:after="0"/>
              <w:rPr>
                <w:sz w:val="20"/>
                <w:szCs w:val="20"/>
                <w:color w:val="auto"/>
              </w:rPr>
            </w:pPr>
            <w:r>
              <w:rPr>
                <w:rFonts w:ascii="Arial" w:cs="Arial" w:eastAsia="Arial" w:hAnsi="Arial"/>
                <w:sz w:val="10"/>
                <w:szCs w:val="10"/>
                <w:b w:val="1"/>
                <w:bCs w:val="1"/>
                <w:color w:val="auto"/>
              </w:rPr>
              <w:t>8)</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rPr>
                <w:sz w:val="20"/>
                <w:szCs w:val="20"/>
                <w:color w:val="auto"/>
              </w:rPr>
            </w:pPr>
            <w:r>
              <w:rPr>
                <w:rFonts w:ascii="Arial" w:cs="Arial" w:eastAsia="Arial" w:hAnsi="Arial"/>
                <w:sz w:val="10"/>
                <w:szCs w:val="10"/>
                <w:b w:val="1"/>
                <w:bCs w:val="1"/>
                <w:color w:val="auto"/>
              </w:rPr>
              <w:t>Following Reported</w:t>
            </w: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(Instr. 4)</w:t>
            </w:r>
          </w:p>
        </w:tc>
        <w:tc>
          <w:tcPr>
            <w:tcW w:w="1120" w:type="dxa"/>
            <w:vAlign w:val="bottom"/>
            <w:gridSpan w:val="4"/>
          </w:tcPr>
          <w:p>
            <w:pPr>
              <w:ind w:left="12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1"/>
        </w:trPr>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Transaction(s) (Instr.</w:t>
            </w: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5"/>
        </w:trPr>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6"/>
        </w:trPr>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Code   V</w:t>
            </w:r>
          </w:p>
        </w:tc>
        <w:tc>
          <w:tcPr>
            <w:tcW w:w="700" w:type="dxa"/>
            <w:vAlign w:val="bottom"/>
            <w:vMerge w:val="restart"/>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10"/>
                <w:szCs w:val="10"/>
                <w:b w:val="1"/>
                <w:bCs w:val="1"/>
                <w:color w:val="auto"/>
              </w:rPr>
              <w:t>(A) or</w:t>
            </w:r>
          </w:p>
        </w:tc>
        <w:tc>
          <w:tcPr>
            <w:tcW w:w="7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Price</w:t>
            </w: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3 and 4)</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center"/>
              <w:ind w:right="79"/>
              <w:spacing w:after="0"/>
              <w:rPr>
                <w:sz w:val="20"/>
                <w:szCs w:val="20"/>
                <w:color w:val="auto"/>
              </w:rPr>
            </w:pPr>
            <w:r>
              <w:rPr>
                <w:rFonts w:ascii="Arial" w:cs="Arial" w:eastAsia="Arial" w:hAnsi="Arial"/>
                <w:sz w:val="10"/>
                <w:szCs w:val="10"/>
                <w:b w:val="1"/>
                <w:bCs w:val="1"/>
                <w:color w:val="auto"/>
              </w:rPr>
              <w:t>(D)</w:t>
            </w: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0000FF"/>
              </w:rPr>
              <w:t>By: Rialto</w:t>
            </w:r>
          </w:p>
        </w:tc>
        <w:tc>
          <w:tcPr>
            <w:tcW w:w="0" w:type="dxa"/>
            <w:vAlign w:val="bottom"/>
          </w:tcPr>
          <w:p>
            <w:pPr>
              <w:spacing w:after="0"/>
              <w:rPr>
                <w:sz w:val="1"/>
                <w:szCs w:val="1"/>
                <w:color w:val="auto"/>
              </w:rPr>
            </w:pPr>
          </w:p>
        </w:tc>
      </w:tr>
      <w:tr>
        <w:trPr>
          <w:trHeight w:val="185"/>
        </w:trPr>
        <w:tc>
          <w:tcPr>
            <w:tcW w:w="2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Class I Common Stock</w:t>
            </w:r>
          </w:p>
        </w:tc>
        <w:tc>
          <w:tcPr>
            <w:tcW w:w="96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color w:val="0000FF"/>
              </w:rPr>
              <w:t>06/30/2026</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0000FF"/>
                <w:w w:val="98"/>
              </w:rPr>
              <w:t>158,727.442</w:t>
            </w:r>
          </w:p>
        </w:tc>
        <w:tc>
          <w:tcPr>
            <w:tcW w:w="46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vMerge w:val="restart"/>
          </w:tcPr>
          <w:p>
            <w:pPr>
              <w:ind w:left="12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23.8603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167"/>
              <w:spacing w:after="0"/>
              <w:rPr>
                <w:sz w:val="20"/>
                <w:szCs w:val="20"/>
                <w:color w:val="auto"/>
              </w:rPr>
            </w:pPr>
            <w:r>
              <w:rPr>
                <w:rFonts w:ascii="Times New Roman" w:cs="Times New Roman" w:eastAsia="Times New Roman" w:hAnsi="Times New Roman"/>
                <w:sz w:val="15"/>
                <w:szCs w:val="15"/>
                <w:color w:val="0000FF"/>
              </w:rPr>
              <w:t>68,231.184</w:t>
            </w:r>
          </w:p>
        </w:tc>
        <w:tc>
          <w:tcPr>
            <w:tcW w:w="380" w:type="dxa"/>
            <w:vAlign w:val="bottom"/>
          </w:tcPr>
          <w:p>
            <w:pPr>
              <w:spacing w:after="0"/>
              <w:rPr>
                <w:sz w:val="16"/>
                <w:szCs w:val="16"/>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0000FF"/>
              </w:rPr>
              <w:t>Capital</w:t>
            </w:r>
          </w:p>
        </w:tc>
        <w:tc>
          <w:tcPr>
            <w:tcW w:w="0" w:type="dxa"/>
            <w:vAlign w:val="bottom"/>
          </w:tcPr>
          <w:p>
            <w:pPr>
              <w:spacing w:after="0"/>
              <w:rPr>
                <w:sz w:val="1"/>
                <w:szCs w:val="1"/>
                <w:color w:val="auto"/>
              </w:rPr>
            </w:pPr>
          </w:p>
        </w:tc>
      </w:tr>
      <w:tr>
        <w:trPr>
          <w:trHeight w:val="105"/>
        </w:trPr>
        <w:tc>
          <w:tcPr>
            <w:tcW w:w="230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5"/>
                <w:szCs w:val="15"/>
                <w:color w:val="0000FF"/>
              </w:rPr>
              <w:t>Management,</w:t>
            </w: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6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gridSpan w:val="2"/>
          </w:tcPr>
          <w:p>
            <w:pPr>
              <w:ind w:left="120"/>
              <w:spacing w:after="0" w:line="242" w:lineRule="exact"/>
              <w:rPr>
                <w:sz w:val="20"/>
                <w:szCs w:val="20"/>
                <w:color w:val="auto"/>
              </w:rPr>
            </w:pPr>
            <w:r>
              <w:rPr>
                <w:rFonts w:ascii="Times New Roman" w:cs="Times New Roman" w:eastAsia="Times New Roman" w:hAnsi="Times New Roman"/>
                <w:sz w:val="28"/>
                <w:szCs w:val="28"/>
                <w:color w:val="0000FF"/>
                <w:vertAlign w:val="subscript"/>
              </w:rPr>
              <w:t>LLC</w:t>
            </w:r>
            <w:r>
              <w:rPr>
                <w:rFonts w:ascii="Times New Roman" w:cs="Times New Roman" w:eastAsia="Times New Roman" w:hAnsi="Times New Roman"/>
                <w:sz w:val="9"/>
                <w:szCs w:val="9"/>
                <w:color w:val="008000"/>
              </w:rPr>
              <w:t>(1)</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0000FF"/>
              </w:rPr>
              <w:t>By: Rialto</w:t>
            </w:r>
          </w:p>
        </w:tc>
        <w:tc>
          <w:tcPr>
            <w:tcW w:w="0" w:type="dxa"/>
            <w:vAlign w:val="bottom"/>
          </w:tcPr>
          <w:p>
            <w:pPr>
              <w:spacing w:after="0"/>
              <w:rPr>
                <w:sz w:val="1"/>
                <w:szCs w:val="1"/>
                <w:color w:val="auto"/>
              </w:rPr>
            </w:pPr>
          </w:p>
        </w:tc>
      </w:tr>
      <w:tr>
        <w:trPr>
          <w:trHeight w:val="185"/>
        </w:trPr>
        <w:tc>
          <w:tcPr>
            <w:tcW w:w="2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Class I Common Stock</w:t>
            </w:r>
          </w:p>
        </w:tc>
        <w:tc>
          <w:tcPr>
            <w:tcW w:w="96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color w:val="0000FF"/>
              </w:rPr>
              <w:t>07/01/2026</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71,346.63</w:t>
            </w:r>
          </w:p>
        </w:tc>
        <w:tc>
          <w:tcPr>
            <w:tcW w:w="80" w:type="dxa"/>
            <w:vAlign w:val="bottom"/>
          </w:tcPr>
          <w:p>
            <w:pPr>
              <w:spacing w:after="0"/>
              <w:rPr>
                <w:sz w:val="16"/>
                <w:szCs w:val="16"/>
                <w:color w:val="auto"/>
              </w:rPr>
            </w:pPr>
          </w:p>
        </w:tc>
        <w:tc>
          <w:tcPr>
            <w:tcW w:w="46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0000FF"/>
              </w:rPr>
              <w:t>A</w:t>
            </w:r>
          </w:p>
        </w:tc>
        <w:tc>
          <w:tcPr>
            <w:tcW w:w="740" w:type="dxa"/>
            <w:vAlign w:val="bottom"/>
            <w:vMerge w:val="restart"/>
          </w:tcPr>
          <w:p>
            <w:pPr>
              <w:ind w:left="12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23.8603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167"/>
              <w:spacing w:after="0"/>
              <w:rPr>
                <w:sz w:val="20"/>
                <w:szCs w:val="20"/>
                <w:color w:val="auto"/>
              </w:rPr>
            </w:pPr>
            <w:r>
              <w:rPr>
                <w:rFonts w:ascii="Times New Roman" w:cs="Times New Roman" w:eastAsia="Times New Roman" w:hAnsi="Times New Roman"/>
                <w:sz w:val="15"/>
                <w:szCs w:val="15"/>
                <w:color w:val="0000FF"/>
              </w:rPr>
              <w:t>139,577.814</w:t>
            </w:r>
          </w:p>
        </w:tc>
        <w:tc>
          <w:tcPr>
            <w:tcW w:w="380" w:type="dxa"/>
            <w:vAlign w:val="bottom"/>
          </w:tcPr>
          <w:p>
            <w:pPr>
              <w:spacing w:after="0"/>
              <w:rPr>
                <w:sz w:val="16"/>
                <w:szCs w:val="16"/>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0000FF"/>
              </w:rPr>
              <w:t>Capital</w:t>
            </w:r>
          </w:p>
        </w:tc>
        <w:tc>
          <w:tcPr>
            <w:tcW w:w="0" w:type="dxa"/>
            <w:vAlign w:val="bottom"/>
          </w:tcPr>
          <w:p>
            <w:pPr>
              <w:spacing w:after="0"/>
              <w:rPr>
                <w:sz w:val="1"/>
                <w:szCs w:val="1"/>
                <w:color w:val="auto"/>
              </w:rPr>
            </w:pPr>
          </w:p>
        </w:tc>
      </w:tr>
      <w:tr>
        <w:trPr>
          <w:trHeight w:val="105"/>
        </w:trPr>
        <w:tc>
          <w:tcPr>
            <w:tcW w:w="230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5"/>
                <w:szCs w:val="15"/>
                <w:color w:val="0000FF"/>
              </w:rPr>
              <w:t>Management,</w:t>
            </w: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6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5"/>
                <w:szCs w:val="15"/>
                <w:color w:val="0000FF"/>
              </w:rPr>
              <w:t>LLC</w:t>
            </w:r>
            <w:r>
              <w:rPr>
                <w:rFonts w:ascii="Times New Roman" w:cs="Times New Roman" w:eastAsia="Times New Roman" w:hAnsi="Times New Roman"/>
                <w:sz w:val="19"/>
                <w:szCs w:val="19"/>
                <w:color w:val="008000"/>
                <w:vertAlign w:val="superscript"/>
              </w:rPr>
              <w:t>(1)</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Class I Common Stock</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restart"/>
          </w:tcPr>
          <w:p>
            <w:pPr>
              <w:jc w:val="center"/>
              <w:ind w:right="147"/>
              <w:spacing w:after="0"/>
              <w:rPr>
                <w:sz w:val="20"/>
                <w:szCs w:val="20"/>
                <w:color w:val="auto"/>
              </w:rPr>
            </w:pPr>
            <w:r>
              <w:rPr>
                <w:rFonts w:ascii="Times New Roman" w:cs="Times New Roman" w:eastAsia="Times New Roman" w:hAnsi="Times New Roman"/>
                <w:sz w:val="15"/>
                <w:szCs w:val="15"/>
                <w:color w:val="0000FF"/>
                <w:w w:val="94"/>
              </w:rPr>
              <w:t>23,564.611</w:t>
            </w:r>
            <w:r>
              <w:rPr>
                <w:rFonts w:ascii="Times New Roman" w:cs="Times New Roman" w:eastAsia="Times New Roman" w:hAnsi="Times New Roman"/>
                <w:sz w:val="19"/>
                <w:szCs w:val="19"/>
                <w:color w:val="008000"/>
                <w:w w:val="94"/>
                <w:vertAlign w:val="superscript"/>
              </w:rPr>
              <w:t>(2)</w:t>
            </w:r>
          </w:p>
        </w:tc>
        <w:tc>
          <w:tcPr>
            <w:tcW w:w="380" w:type="dxa"/>
            <w:vAlign w:val="bottom"/>
          </w:tcPr>
          <w:p>
            <w:pPr>
              <w:spacing w:after="0"/>
              <w:rPr>
                <w:sz w:val="19"/>
                <w:szCs w:val="19"/>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0000FF"/>
              </w:rPr>
              <w:t>By: JTK</w:t>
            </w:r>
          </w:p>
        </w:tc>
        <w:tc>
          <w:tcPr>
            <w:tcW w:w="0" w:type="dxa"/>
            <w:vAlign w:val="bottom"/>
          </w:tcPr>
          <w:p>
            <w:pPr>
              <w:spacing w:after="0"/>
              <w:rPr>
                <w:sz w:val="1"/>
                <w:szCs w:val="1"/>
                <w:color w:val="auto"/>
              </w:rPr>
            </w:pPr>
          </w:p>
        </w:tc>
      </w:tr>
      <w:tr>
        <w:trPr>
          <w:trHeight w:val="150"/>
        </w:trPr>
        <w:tc>
          <w:tcPr>
            <w:tcW w:w="230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color w:val="0000FF"/>
              </w:rPr>
              <w:t>RCM, LLC</w:t>
            </w:r>
            <w:r>
              <w:rPr>
                <w:rFonts w:ascii="Times New Roman" w:cs="Times New Roman" w:eastAsia="Times New Roman" w:hAnsi="Times New Roman"/>
                <w:sz w:val="19"/>
                <w:szCs w:val="19"/>
                <w:color w:val="008000"/>
                <w:vertAlign w:val="superscript"/>
              </w:rPr>
              <w:t>(3)</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Class F Common Stock</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restart"/>
          </w:tcPr>
          <w:p>
            <w:pPr>
              <w:jc w:val="center"/>
              <w:ind w:right="167"/>
              <w:spacing w:after="0"/>
              <w:rPr>
                <w:sz w:val="20"/>
                <w:szCs w:val="20"/>
                <w:color w:val="auto"/>
              </w:rPr>
            </w:pPr>
            <w:r>
              <w:rPr>
                <w:rFonts w:ascii="Times New Roman" w:cs="Times New Roman" w:eastAsia="Times New Roman" w:hAnsi="Times New Roman"/>
                <w:sz w:val="15"/>
                <w:szCs w:val="15"/>
                <w:color w:val="0000FF"/>
                <w:w w:val="97"/>
              </w:rPr>
              <w:t>39,692.858</w:t>
            </w:r>
            <w:r>
              <w:rPr>
                <w:rFonts w:ascii="Times New Roman" w:cs="Times New Roman" w:eastAsia="Times New Roman" w:hAnsi="Times New Roman"/>
                <w:sz w:val="19"/>
                <w:szCs w:val="19"/>
                <w:color w:val="008000"/>
                <w:w w:val="97"/>
                <w:vertAlign w:val="superscript"/>
              </w:rPr>
              <w:t>(2)</w:t>
            </w:r>
          </w:p>
        </w:tc>
        <w:tc>
          <w:tcPr>
            <w:tcW w:w="380" w:type="dxa"/>
            <w:vAlign w:val="bottom"/>
          </w:tcPr>
          <w:p>
            <w:pPr>
              <w:spacing w:after="0"/>
              <w:rPr>
                <w:sz w:val="19"/>
                <w:szCs w:val="19"/>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0000FF"/>
              </w:rPr>
              <w:t>By: JTK</w:t>
            </w:r>
          </w:p>
        </w:tc>
        <w:tc>
          <w:tcPr>
            <w:tcW w:w="0" w:type="dxa"/>
            <w:vAlign w:val="bottom"/>
          </w:tcPr>
          <w:p>
            <w:pPr>
              <w:spacing w:after="0"/>
              <w:rPr>
                <w:sz w:val="1"/>
                <w:szCs w:val="1"/>
                <w:color w:val="auto"/>
              </w:rPr>
            </w:pPr>
          </w:p>
        </w:tc>
      </w:tr>
      <w:tr>
        <w:trPr>
          <w:trHeight w:val="150"/>
        </w:trPr>
        <w:tc>
          <w:tcPr>
            <w:tcW w:w="230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5"/>
                <w:szCs w:val="15"/>
                <w:color w:val="0000FF"/>
              </w:rPr>
              <w:t>RCM, LLC</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36"/>
        </w:trPr>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60" w:type="dxa"/>
            <w:vAlign w:val="bottom"/>
            <w:gridSpan w:val="14"/>
          </w:tcPr>
          <w:p>
            <w:pPr>
              <w:ind w:left="5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40" w:type="dxa"/>
            <w:vAlign w:val="bottom"/>
            <w:gridSpan w:val="11"/>
          </w:tcPr>
          <w:p>
            <w:pPr>
              <w:ind w:left="20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200" w:type="dxa"/>
            <w:vAlign w:val="bottom"/>
            <w:gridSpan w:val="3"/>
          </w:tcPr>
          <w:p>
            <w:pPr>
              <w:ind w:left="40"/>
              <w:spacing w:after="0"/>
              <w:rPr>
                <w:sz w:val="20"/>
                <w:szCs w:val="20"/>
                <w:color w:val="auto"/>
              </w:rPr>
            </w:pPr>
            <w:r>
              <w:rPr>
                <w:rFonts w:ascii="Arial" w:cs="Arial" w:eastAsia="Arial" w:hAnsi="Arial"/>
                <w:sz w:val="10"/>
                <w:szCs w:val="10"/>
                <w:b w:val="1"/>
                <w:bCs w:val="1"/>
                <w:color w:val="auto"/>
              </w:rPr>
              <w:t>5. Number of Derivative</w:t>
            </w:r>
          </w:p>
        </w:tc>
        <w:tc>
          <w:tcPr>
            <w:tcW w:w="12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0"/>
                <w:szCs w:val="10"/>
                <w:b w:val="1"/>
                <w:bCs w:val="1"/>
                <w:color w:val="auto"/>
              </w:rPr>
              <w:t>7. Title and Amount of</w:t>
            </w:r>
          </w:p>
        </w:tc>
        <w:tc>
          <w:tcPr>
            <w:tcW w:w="14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9. Number of</w:t>
            </w:r>
          </w:p>
        </w:tc>
        <w:tc>
          <w:tcPr>
            <w:tcW w:w="420" w:type="dxa"/>
            <w:vAlign w:val="bottom"/>
          </w:tcPr>
          <w:p>
            <w:pPr>
              <w:ind w:left="180"/>
              <w:spacing w:after="0"/>
              <w:rPr>
                <w:sz w:val="20"/>
                <w:szCs w:val="20"/>
                <w:color w:val="auto"/>
              </w:rPr>
            </w:pPr>
            <w:r>
              <w:rPr>
                <w:rFonts w:ascii="Arial" w:cs="Arial" w:eastAsia="Arial" w:hAnsi="Arial"/>
                <w:sz w:val="10"/>
                <w:szCs w:val="10"/>
                <w:b w:val="1"/>
                <w:bCs w:val="1"/>
                <w:color w:val="auto"/>
              </w:rPr>
              <w:t>10.</w:t>
            </w:r>
          </w:p>
        </w:tc>
        <w:tc>
          <w:tcPr>
            <w:tcW w:w="360" w:type="dxa"/>
            <w:vAlign w:val="bottom"/>
          </w:tcPr>
          <w:p>
            <w:pPr>
              <w:spacing w:after="0"/>
              <w:rPr>
                <w:sz w:val="13"/>
                <w:szCs w:val="13"/>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6"/>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Transaction</w:t>
            </w:r>
          </w:p>
        </w:tc>
        <w:tc>
          <w:tcPr>
            <w:tcW w:w="1200" w:type="dxa"/>
            <w:vAlign w:val="bottom"/>
            <w:gridSpan w:val="3"/>
          </w:tcPr>
          <w:p>
            <w:pPr>
              <w:ind w:left="40"/>
              <w:spacing w:after="0"/>
              <w:rPr>
                <w:sz w:val="20"/>
                <w:szCs w:val="20"/>
                <w:color w:val="auto"/>
              </w:rPr>
            </w:pPr>
            <w:r>
              <w:rPr>
                <w:rFonts w:ascii="Arial" w:cs="Arial" w:eastAsia="Arial" w:hAnsi="Arial"/>
                <w:sz w:val="10"/>
                <w:szCs w:val="10"/>
                <w:b w:val="1"/>
                <w:bCs w:val="1"/>
                <w:color w:val="auto"/>
              </w:rPr>
              <w:t>Securities Acquired (A)</w:t>
            </w:r>
          </w:p>
        </w:tc>
        <w:tc>
          <w:tcPr>
            <w:tcW w:w="120" w:type="dxa"/>
            <w:vAlign w:val="bottom"/>
          </w:tcPr>
          <w:p>
            <w:pPr>
              <w:spacing w:after="0"/>
              <w:rPr>
                <w:sz w:val="10"/>
                <w:szCs w:val="10"/>
                <w:color w:val="auto"/>
              </w:rPr>
            </w:pPr>
          </w:p>
        </w:tc>
        <w:tc>
          <w:tcPr>
            <w:tcW w:w="1340" w:type="dxa"/>
            <w:vAlign w:val="bottom"/>
            <w:gridSpan w:val="2"/>
          </w:tcPr>
          <w:p>
            <w:pPr>
              <w:ind w:left="40"/>
              <w:spacing w:after="0"/>
              <w:rPr>
                <w:sz w:val="20"/>
                <w:szCs w:val="20"/>
                <w:color w:val="auto"/>
              </w:rPr>
            </w:pPr>
            <w:r>
              <w:rPr>
                <w:rFonts w:ascii="Arial" w:cs="Arial" w:eastAsia="Arial" w:hAnsi="Arial"/>
                <w:sz w:val="10"/>
                <w:szCs w:val="10"/>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0"/>
                <w:szCs w:val="10"/>
                <w:b w:val="1"/>
                <w:bCs w:val="1"/>
                <w:color w:val="auto"/>
              </w:rPr>
              <w:t>Securities Underlying</w:t>
            </w:r>
          </w:p>
        </w:tc>
        <w:tc>
          <w:tcPr>
            <w:tcW w:w="140" w:type="dxa"/>
            <w:vAlign w:val="bottom"/>
          </w:tcPr>
          <w:p>
            <w:pPr>
              <w:spacing w:after="0"/>
              <w:rPr>
                <w:sz w:val="10"/>
                <w:szCs w:val="10"/>
                <w:color w:val="auto"/>
              </w:rPr>
            </w:pPr>
          </w:p>
        </w:tc>
        <w:tc>
          <w:tcPr>
            <w:tcW w:w="620" w:type="dxa"/>
            <w:vAlign w:val="bottom"/>
          </w:tcPr>
          <w:p>
            <w:pPr>
              <w:ind w:left="40"/>
              <w:spacing w:after="0"/>
              <w:rPr>
                <w:sz w:val="20"/>
                <w:szCs w:val="20"/>
                <w:color w:val="auto"/>
              </w:rPr>
            </w:pPr>
            <w:r>
              <w:rPr>
                <w:rFonts w:ascii="Arial" w:cs="Arial" w:eastAsia="Arial" w:hAnsi="Arial"/>
                <w:sz w:val="10"/>
                <w:szCs w:val="10"/>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w:t>
            </w:r>
          </w:p>
        </w:tc>
        <w:tc>
          <w:tcPr>
            <w:tcW w:w="780" w:type="dxa"/>
            <w:vAlign w:val="bottom"/>
            <w:gridSpan w:val="2"/>
          </w:tcPr>
          <w:p>
            <w:pPr>
              <w:ind w:left="180"/>
              <w:spacing w:after="0"/>
              <w:rPr>
                <w:sz w:val="20"/>
                <w:szCs w:val="20"/>
                <w:color w:val="auto"/>
              </w:rPr>
            </w:pPr>
            <w:r>
              <w:rPr>
                <w:rFonts w:ascii="Arial" w:cs="Arial" w:eastAsia="Arial" w:hAnsi="Arial"/>
                <w:sz w:val="10"/>
                <w:szCs w:val="10"/>
                <w:b w:val="1"/>
                <w:bCs w:val="1"/>
                <w:color w:val="auto"/>
              </w:rPr>
              <w:t>Ownership</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Code (Instr.</w:t>
            </w:r>
          </w:p>
        </w:tc>
        <w:tc>
          <w:tcPr>
            <w:tcW w:w="1320" w:type="dxa"/>
            <w:vAlign w:val="bottom"/>
            <w:gridSpan w:val="4"/>
          </w:tcPr>
          <w:p>
            <w:pPr>
              <w:ind w:left="40"/>
              <w:spacing w:after="0"/>
              <w:rPr>
                <w:sz w:val="20"/>
                <w:szCs w:val="20"/>
                <w:color w:val="auto"/>
              </w:rPr>
            </w:pPr>
            <w:r>
              <w:rPr>
                <w:rFonts w:ascii="Arial" w:cs="Arial" w:eastAsia="Arial" w:hAnsi="Arial"/>
                <w:sz w:val="10"/>
                <w:szCs w:val="10"/>
                <w:b w:val="1"/>
                <w:bCs w:val="1"/>
                <w:color w:val="auto"/>
              </w:rPr>
              <w:t>or Disposed of (D) (Instr.</w:t>
            </w:r>
          </w:p>
        </w:tc>
        <w:tc>
          <w:tcPr>
            <w:tcW w:w="1340" w:type="dxa"/>
            <w:vAlign w:val="bottom"/>
            <w:gridSpan w:val="2"/>
          </w:tcPr>
          <w:p>
            <w:pPr>
              <w:ind w:left="40"/>
              <w:spacing w:after="0"/>
              <w:rPr>
                <w:sz w:val="20"/>
                <w:szCs w:val="20"/>
                <w:color w:val="auto"/>
              </w:rPr>
            </w:pPr>
            <w:r>
              <w:rPr>
                <w:rFonts w:ascii="Arial" w:cs="Arial" w:eastAsia="Arial" w:hAnsi="Arial"/>
                <w:sz w:val="10"/>
                <w:szCs w:val="10"/>
                <w:b w:val="1"/>
                <w:bCs w:val="1"/>
                <w:color w:val="auto"/>
              </w:rPr>
              <w:t>(Month/Day/Year)</w:t>
            </w:r>
          </w:p>
        </w:tc>
        <w:tc>
          <w:tcPr>
            <w:tcW w:w="1460" w:type="dxa"/>
            <w:vAlign w:val="bottom"/>
            <w:gridSpan w:val="5"/>
          </w:tcPr>
          <w:p>
            <w:pPr>
              <w:ind w:left="40"/>
              <w:spacing w:after="0"/>
              <w:rPr>
                <w:sz w:val="20"/>
                <w:szCs w:val="20"/>
                <w:color w:val="auto"/>
              </w:rPr>
            </w:pPr>
            <w:r>
              <w:rPr>
                <w:rFonts w:ascii="Arial" w:cs="Arial" w:eastAsia="Arial" w:hAnsi="Arial"/>
                <w:sz w:val="10"/>
                <w:szCs w:val="10"/>
                <w:b w:val="1"/>
                <w:bCs w:val="1"/>
                <w:color w:val="auto"/>
              </w:rPr>
              <w:t>Derivative Security (Instr. 3</w:t>
            </w:r>
          </w:p>
        </w:tc>
        <w:tc>
          <w:tcPr>
            <w:tcW w:w="620" w:type="dxa"/>
            <w:vAlign w:val="bottom"/>
          </w:tcPr>
          <w:p>
            <w:pPr>
              <w:ind w:left="40"/>
              <w:spacing w:after="0"/>
              <w:rPr>
                <w:sz w:val="20"/>
                <w:szCs w:val="20"/>
                <w:color w:val="auto"/>
              </w:rPr>
            </w:pPr>
            <w:r>
              <w:rPr>
                <w:rFonts w:ascii="Arial" w:cs="Arial" w:eastAsia="Arial" w:hAnsi="Arial"/>
                <w:sz w:val="10"/>
                <w:szCs w:val="10"/>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Securities</w:t>
            </w:r>
          </w:p>
        </w:tc>
        <w:tc>
          <w:tcPr>
            <w:tcW w:w="780" w:type="dxa"/>
            <w:vAlign w:val="bottom"/>
            <w:gridSpan w:val="2"/>
          </w:tcPr>
          <w:p>
            <w:pPr>
              <w:ind w:left="180"/>
              <w:spacing w:after="0"/>
              <w:rPr>
                <w:sz w:val="20"/>
                <w:szCs w:val="20"/>
                <w:color w:val="auto"/>
              </w:rPr>
            </w:pPr>
            <w:r>
              <w:rPr>
                <w:rFonts w:ascii="Arial" w:cs="Arial" w:eastAsia="Arial" w:hAnsi="Arial"/>
                <w:sz w:val="10"/>
                <w:szCs w:val="10"/>
                <w:b w:val="1"/>
                <w:bCs w:val="1"/>
                <w:color w:val="auto"/>
              </w:rPr>
              <w:t>Form:</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10"/>
                <w:szCs w:val="10"/>
                <w:color w:val="auto"/>
              </w:rPr>
            </w:pP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1200" w:type="dxa"/>
            <w:vAlign w:val="bottom"/>
            <w:gridSpan w:val="3"/>
          </w:tcPr>
          <w:p>
            <w:pPr>
              <w:ind w:left="40"/>
              <w:spacing w:after="0"/>
              <w:rPr>
                <w:sz w:val="20"/>
                <w:szCs w:val="20"/>
                <w:color w:val="auto"/>
              </w:rPr>
            </w:pPr>
            <w:r>
              <w:rPr>
                <w:rFonts w:ascii="Arial" w:cs="Arial" w:eastAsia="Arial" w:hAnsi="Arial"/>
                <w:sz w:val="10"/>
                <w:szCs w:val="10"/>
                <w:b w:val="1"/>
                <w:bCs w:val="1"/>
                <w:color w:val="auto"/>
              </w:rPr>
              <w:t>3, 4 and 5)</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auto"/>
              </w:rPr>
              <w:t>and 4)</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40"/>
              <w:spacing w:after="0"/>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Beneficially</w:t>
            </w:r>
          </w:p>
        </w:tc>
        <w:tc>
          <w:tcPr>
            <w:tcW w:w="780" w:type="dxa"/>
            <w:vAlign w:val="bottom"/>
            <w:gridSpan w:val="2"/>
          </w:tcPr>
          <w:p>
            <w:pPr>
              <w:ind w:left="180"/>
              <w:spacing w:after="0"/>
              <w:rPr>
                <w:sz w:val="20"/>
                <w:szCs w:val="20"/>
                <w:color w:val="auto"/>
              </w:rPr>
            </w:pPr>
            <w:r>
              <w:rPr>
                <w:rFonts w:ascii="Arial" w:cs="Arial" w:eastAsia="Arial" w:hAnsi="Arial"/>
                <w:sz w:val="10"/>
                <w:szCs w:val="10"/>
                <w:b w:val="1"/>
                <w:bCs w:val="1"/>
                <w:color w:val="auto"/>
              </w:rPr>
              <w:t>Direct (D)</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9"/>
        </w:trPr>
        <w:tc>
          <w:tcPr>
            <w:tcW w:w="6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ind w:left="60"/>
              <w:spacing w:after="0"/>
              <w:rPr>
                <w:sz w:val="20"/>
                <w:szCs w:val="20"/>
                <w:color w:val="auto"/>
              </w:rPr>
            </w:pPr>
            <w:r>
              <w:rPr>
                <w:rFonts w:ascii="Arial" w:cs="Arial" w:eastAsia="Arial" w:hAnsi="Arial"/>
                <w:sz w:val="10"/>
                <w:szCs w:val="10"/>
                <w:b w:val="1"/>
                <w:bCs w:val="1"/>
                <w:color w:val="auto"/>
                <w:w w:val="95"/>
              </w:rPr>
              <w:t>Owned</w:t>
            </w:r>
          </w:p>
        </w:tc>
        <w:tc>
          <w:tcPr>
            <w:tcW w:w="380" w:type="dxa"/>
            <w:vAlign w:val="bottom"/>
          </w:tcPr>
          <w:p>
            <w:pPr>
              <w:spacing w:after="0"/>
              <w:rPr>
                <w:sz w:val="10"/>
                <w:szCs w:val="10"/>
                <w:color w:val="auto"/>
              </w:rPr>
            </w:pPr>
          </w:p>
        </w:tc>
        <w:tc>
          <w:tcPr>
            <w:tcW w:w="780" w:type="dxa"/>
            <w:vAlign w:val="bottom"/>
            <w:gridSpan w:val="2"/>
          </w:tcPr>
          <w:p>
            <w:pPr>
              <w:ind w:left="180"/>
              <w:spacing w:after="0"/>
              <w:rPr>
                <w:sz w:val="20"/>
                <w:szCs w:val="20"/>
                <w:color w:val="auto"/>
              </w:rPr>
            </w:pPr>
            <w:r>
              <w:rPr>
                <w:rFonts w:ascii="Arial" w:cs="Arial" w:eastAsia="Arial" w:hAnsi="Arial"/>
                <w:sz w:val="10"/>
                <w:szCs w:val="10"/>
                <w:b w:val="1"/>
                <w:bCs w:val="1"/>
                <w:color w:val="auto"/>
              </w:rPr>
              <w:t>or Indirect</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92"/>
        </w:trPr>
        <w:tc>
          <w:tcPr>
            <w:tcW w:w="620" w:type="dxa"/>
            <w:vAlign w:val="bottom"/>
          </w:tcPr>
          <w:p>
            <w:pPr>
              <w:spacing w:after="0"/>
              <w:rPr>
                <w:sz w:val="8"/>
                <w:szCs w:val="8"/>
                <w:color w:val="auto"/>
              </w:rPr>
            </w:pPr>
          </w:p>
        </w:tc>
        <w:tc>
          <w:tcPr>
            <w:tcW w:w="7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gridSpan w:val="2"/>
          </w:tcPr>
          <w:p>
            <w:pPr>
              <w:ind w:left="60"/>
              <w:spacing w:after="0" w:line="92" w:lineRule="exact"/>
              <w:rPr>
                <w:sz w:val="20"/>
                <w:szCs w:val="20"/>
                <w:color w:val="auto"/>
              </w:rPr>
            </w:pPr>
            <w:r>
              <w:rPr>
                <w:rFonts w:ascii="Arial" w:cs="Arial" w:eastAsia="Arial" w:hAnsi="Arial"/>
                <w:sz w:val="10"/>
                <w:szCs w:val="10"/>
                <w:b w:val="1"/>
                <w:bCs w:val="1"/>
                <w:color w:val="auto"/>
              </w:rPr>
              <w:t>Following</w:t>
            </w:r>
          </w:p>
        </w:tc>
        <w:tc>
          <w:tcPr>
            <w:tcW w:w="780" w:type="dxa"/>
            <w:vAlign w:val="bottom"/>
            <w:gridSpan w:val="2"/>
          </w:tcPr>
          <w:p>
            <w:pPr>
              <w:ind w:left="180"/>
              <w:spacing w:after="0" w:line="92" w:lineRule="exact"/>
              <w:rPr>
                <w:sz w:val="20"/>
                <w:szCs w:val="20"/>
                <w:color w:val="auto"/>
              </w:rPr>
            </w:pPr>
            <w:r>
              <w:rPr>
                <w:rFonts w:ascii="Arial" w:cs="Arial" w:eastAsia="Arial" w:hAnsi="Arial"/>
                <w:sz w:val="10"/>
                <w:szCs w:val="10"/>
                <w:b w:val="1"/>
                <w:bCs w:val="1"/>
                <w:color w:val="auto"/>
              </w:rPr>
              <w:t>(I) (Instr. 4)</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 or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Reported</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Expiration</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Number of</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Transaction(s)</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Code  V</w:t>
            </w:r>
          </w:p>
        </w:tc>
        <w:tc>
          <w:tcPr>
            <w:tcW w:w="200" w:type="dxa"/>
            <w:vAlign w:val="bottom"/>
          </w:tcPr>
          <w:p>
            <w:pPr>
              <w:ind w:left="40"/>
              <w:spacing w:after="0"/>
              <w:rPr>
                <w:sz w:val="20"/>
                <w:szCs w:val="20"/>
                <w:color w:val="auto"/>
              </w:rPr>
            </w:pPr>
            <w:r>
              <w:rPr>
                <w:rFonts w:ascii="Arial" w:cs="Arial" w:eastAsia="Arial" w:hAnsi="Arial"/>
                <w:sz w:val="10"/>
                <w:szCs w:val="10"/>
                <w:b w:val="1"/>
                <w:bCs w:val="1"/>
                <w:color w:val="auto"/>
              </w:rPr>
              <w:t>(A)</w:t>
            </w:r>
          </w:p>
        </w:tc>
        <w:tc>
          <w:tcPr>
            <w:tcW w:w="1000" w:type="dxa"/>
            <w:vAlign w:val="bottom"/>
            <w:gridSpan w:val="2"/>
          </w:tcPr>
          <w:p>
            <w:pPr>
              <w:ind w:left="580"/>
              <w:spacing w:after="0"/>
              <w:rPr>
                <w:sz w:val="20"/>
                <w:szCs w:val="20"/>
                <w:color w:val="auto"/>
              </w:rPr>
            </w:pPr>
            <w:r>
              <w:rPr>
                <w:rFonts w:ascii="Arial" w:cs="Arial" w:eastAsia="Arial" w:hAnsi="Arial"/>
                <w:sz w:val="10"/>
                <w:szCs w:val="10"/>
                <w:b w:val="1"/>
                <w:bCs w:val="1"/>
                <w:color w:val="auto"/>
              </w:rPr>
              <w:t>(D)</w:t>
            </w:r>
          </w:p>
        </w:tc>
        <w:tc>
          <w:tcPr>
            <w:tcW w:w="12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Date</w:t>
            </w: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I</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color w:val="0000FF"/>
                <w:w w:val="96"/>
              </w:rPr>
              <w:t>Class I</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 Rialto</w:t>
            </w:r>
          </w:p>
        </w:tc>
        <w:tc>
          <w:tcPr>
            <w:tcW w:w="0" w:type="dxa"/>
            <w:vAlign w:val="bottom"/>
          </w:tcPr>
          <w:p>
            <w:pPr>
              <w:spacing w:after="0"/>
              <w:rPr>
                <w:sz w:val="1"/>
                <w:szCs w:val="1"/>
                <w:color w:val="auto"/>
              </w:rPr>
            </w:pPr>
          </w:p>
        </w:tc>
      </w:tr>
      <w:tr>
        <w:trPr>
          <w:trHeight w:val="69"/>
        </w:trPr>
        <w:tc>
          <w:tcPr>
            <w:tcW w:w="62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0000FF"/>
              </w:rPr>
              <w:t>71,346.63</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restart"/>
          </w:tcPr>
          <w:p>
            <w:pPr>
              <w:ind w:left="60"/>
              <w:spacing w:after="0" w:line="196" w:lineRule="exact"/>
              <w:rPr>
                <w:sz w:val="20"/>
                <w:szCs w:val="20"/>
                <w:color w:val="auto"/>
              </w:rPr>
            </w:pPr>
            <w:r>
              <w:rPr>
                <w:rFonts w:ascii="Times New Roman" w:cs="Times New Roman" w:eastAsia="Times New Roman" w:hAnsi="Times New Roman"/>
                <w:sz w:val="12"/>
                <w:szCs w:val="12"/>
                <w:color w:val="0000FF"/>
              </w:rPr>
              <w:t>1,673,354.668</w:t>
            </w:r>
            <w:r>
              <w:rPr>
                <w:rFonts w:ascii="Times New Roman" w:cs="Times New Roman" w:eastAsia="Times New Roman" w:hAnsi="Times New Roman"/>
                <w:sz w:val="19"/>
                <w:szCs w:val="19"/>
                <w:color w:val="008000"/>
                <w:vertAlign w:val="superscript"/>
              </w:rPr>
              <w:t>(6)</w:t>
            </w:r>
          </w:p>
        </w:tc>
        <w:tc>
          <w:tcPr>
            <w:tcW w:w="3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58"/>
        </w:trPr>
        <w:tc>
          <w:tcPr>
            <w:tcW w:w="6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vMerge w:val="restart"/>
          </w:tcPr>
          <w:p>
            <w:pPr>
              <w:jc w:val="right"/>
              <w:ind w:right="166"/>
              <w:spacing w:after="0" w:line="128" w:lineRule="exact"/>
              <w:rPr>
                <w:sz w:val="20"/>
                <w:szCs w:val="20"/>
                <w:color w:val="auto"/>
              </w:rPr>
            </w:pPr>
            <w:r>
              <w:rPr>
                <w:rFonts w:ascii="Times New Roman" w:cs="Times New Roman" w:eastAsia="Times New Roman" w:hAnsi="Times New Roman"/>
                <w:sz w:val="12"/>
                <w:szCs w:val="12"/>
                <w:color w:val="0000FF"/>
              </w:rPr>
              <w:t>07/01/2026</w:t>
            </w:r>
          </w:p>
        </w:tc>
        <w:tc>
          <w:tcPr>
            <w:tcW w:w="960" w:type="dxa"/>
            <w:vAlign w:val="bottom"/>
          </w:tcPr>
          <w:p>
            <w:pPr>
              <w:spacing w:after="0"/>
              <w:rPr>
                <w:sz w:val="5"/>
                <w:szCs w:val="5"/>
                <w:color w:val="auto"/>
              </w:rPr>
            </w:pPr>
          </w:p>
        </w:tc>
        <w:tc>
          <w:tcPr>
            <w:tcW w:w="760" w:type="dxa"/>
            <w:vAlign w:val="bottom"/>
            <w:vMerge w:val="restart"/>
          </w:tcPr>
          <w:p>
            <w:pPr>
              <w:ind w:left="1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200" w:type="dxa"/>
            <w:vAlign w:val="bottom"/>
          </w:tcPr>
          <w:p>
            <w:pPr>
              <w:spacing w:after="0"/>
              <w:rPr>
                <w:sz w:val="5"/>
                <w:szCs w:val="5"/>
                <w:color w:val="auto"/>
              </w:rPr>
            </w:pPr>
          </w:p>
        </w:tc>
        <w:tc>
          <w:tcPr>
            <w:tcW w:w="1120" w:type="dxa"/>
            <w:vAlign w:val="bottom"/>
            <w:gridSpan w:val="3"/>
            <w:vMerge w:val="restart"/>
          </w:tcPr>
          <w:p>
            <w:pPr>
              <w:ind w:left="580"/>
              <w:spacing w:after="0" w:line="128" w:lineRule="exact"/>
              <w:rPr>
                <w:sz w:val="20"/>
                <w:szCs w:val="20"/>
                <w:color w:val="auto"/>
              </w:rPr>
            </w:pPr>
            <w:r>
              <w:rPr>
                <w:rFonts w:ascii="Times New Roman" w:cs="Times New Roman" w:eastAsia="Times New Roman" w:hAnsi="Times New Roman"/>
                <w:sz w:val="12"/>
                <w:szCs w:val="12"/>
                <w:color w:val="0000FF"/>
              </w:rPr>
              <w:t>71,346.63</w:t>
            </w: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23.8603</w:t>
            </w:r>
          </w:p>
        </w:tc>
        <w:tc>
          <w:tcPr>
            <w:tcW w:w="1200" w:type="dxa"/>
            <w:vAlign w:val="bottom"/>
            <w:gridSpan w:val="3"/>
            <w:vMerge w:val="continue"/>
          </w:tcPr>
          <w:p>
            <w:pPr>
              <w:spacing w:after="0"/>
              <w:rPr>
                <w:sz w:val="5"/>
                <w:szCs w:val="5"/>
                <w:color w:val="auto"/>
              </w:rPr>
            </w:pPr>
          </w:p>
        </w:tc>
        <w:tc>
          <w:tcPr>
            <w:tcW w:w="36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620" w:type="dxa"/>
            <w:vAlign w:val="bottom"/>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760" w:type="dxa"/>
            <w:vAlign w:val="bottom"/>
            <w:tcBorders>
              <w:right w:val="single" w:sz="8" w:color="2C2C2C"/>
            </w:tcBorders>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Management,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right w:val="single" w:sz="8" w:color="2C2C2C"/>
            </w:tcBorders>
            <w:gridSpan w:val="3"/>
            <w:vMerge w:val="restart"/>
          </w:tcPr>
          <w:p>
            <w:pPr>
              <w:ind w:left="60"/>
              <w:spacing w:after="0" w:line="212"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119"/>
        </w:trPr>
        <w:tc>
          <w:tcPr>
            <w:tcW w:w="620" w:type="dxa"/>
            <w:vAlign w:val="bottom"/>
            <w:tcBorders>
              <w:bottom w:val="single" w:sz="8" w:color="2C2C2C"/>
            </w:tcBorders>
            <w:vMerge w:val="continue"/>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I</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color w:val="0000FF"/>
                <w:w w:val="96"/>
              </w:rPr>
              <w:t>Class I</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 Rialto</w:t>
            </w:r>
          </w:p>
        </w:tc>
        <w:tc>
          <w:tcPr>
            <w:tcW w:w="0" w:type="dxa"/>
            <w:vAlign w:val="bottom"/>
          </w:tcPr>
          <w:p>
            <w:pPr>
              <w:spacing w:after="0"/>
              <w:rPr>
                <w:sz w:val="1"/>
                <w:szCs w:val="1"/>
                <w:color w:val="auto"/>
              </w:rPr>
            </w:pPr>
          </w:p>
        </w:tc>
      </w:tr>
      <w:tr>
        <w:trPr>
          <w:trHeight w:val="69"/>
        </w:trPr>
        <w:tc>
          <w:tcPr>
            <w:tcW w:w="62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gridSpan w:val="2"/>
            <w:vMerge w:val="restart"/>
          </w:tcPr>
          <w:p>
            <w:pPr>
              <w:ind w:left="40"/>
              <w:spacing w:after="0" w:line="196" w:lineRule="exact"/>
              <w:rPr>
                <w:sz w:val="20"/>
                <w:szCs w:val="20"/>
                <w:color w:val="auto"/>
              </w:rPr>
            </w:pPr>
            <w:r>
              <w:rPr>
                <w:rFonts w:ascii="Times New Roman" w:cs="Times New Roman" w:eastAsia="Times New Roman" w:hAnsi="Times New Roman"/>
                <w:sz w:val="12"/>
                <w:szCs w:val="12"/>
                <w:color w:val="0000FF"/>
              </w:rPr>
              <w:t>157,164.83</w:t>
            </w:r>
            <w:r>
              <w:rPr>
                <w:rFonts w:ascii="Times New Roman" w:cs="Times New Roman" w:eastAsia="Times New Roman" w:hAnsi="Times New Roman"/>
                <w:sz w:val="19"/>
                <w:szCs w:val="19"/>
                <w:color w:val="008000"/>
                <w:vertAlign w:val="superscript"/>
              </w:rPr>
              <w:t>(6)</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gridSpan w:val="3"/>
            <w:vMerge w:val="restart"/>
          </w:tcPr>
          <w:p>
            <w:pPr>
              <w:jc w:val="center"/>
              <w:ind w:right="8"/>
              <w:spacing w:after="0" w:line="196" w:lineRule="exact"/>
              <w:rPr>
                <w:sz w:val="20"/>
                <w:szCs w:val="20"/>
                <w:color w:val="auto"/>
              </w:rPr>
            </w:pPr>
            <w:r>
              <w:rPr>
                <w:rFonts w:ascii="Times New Roman" w:cs="Times New Roman" w:eastAsia="Times New Roman" w:hAnsi="Times New Roman"/>
                <w:sz w:val="15"/>
                <w:szCs w:val="15"/>
                <w:color w:val="0000FF"/>
                <w:w w:val="99"/>
              </w:rPr>
              <w:t>157,164.83</w:t>
            </w:r>
            <w:r>
              <w:rPr>
                <w:rFonts w:ascii="Times New Roman" w:cs="Times New Roman" w:eastAsia="Times New Roman" w:hAnsi="Times New Roman"/>
                <w:sz w:val="19"/>
                <w:szCs w:val="19"/>
                <w:color w:val="008000"/>
                <w:w w:val="99"/>
                <w:vertAlign w:val="superscript"/>
              </w:rPr>
              <w:t>(6)</w:t>
            </w:r>
          </w:p>
        </w:tc>
        <w:tc>
          <w:tcPr>
            <w:tcW w:w="620" w:type="dxa"/>
            <w:vAlign w:val="bottom"/>
          </w:tcPr>
          <w:p>
            <w:pPr>
              <w:spacing w:after="0"/>
              <w:rPr>
                <w:sz w:val="6"/>
                <w:szCs w:val="6"/>
                <w:color w:val="auto"/>
              </w:rPr>
            </w:pPr>
          </w:p>
        </w:tc>
        <w:tc>
          <w:tcPr>
            <w:tcW w:w="1200" w:type="dxa"/>
            <w:vAlign w:val="bottom"/>
            <w:gridSpan w:val="3"/>
            <w:vMerge w:val="restart"/>
          </w:tcPr>
          <w:p>
            <w:pPr>
              <w:ind w:left="60"/>
              <w:spacing w:after="0" w:line="196" w:lineRule="exact"/>
              <w:rPr>
                <w:sz w:val="20"/>
                <w:szCs w:val="20"/>
                <w:color w:val="auto"/>
              </w:rPr>
            </w:pPr>
            <w:r>
              <w:rPr>
                <w:rFonts w:ascii="Times New Roman" w:cs="Times New Roman" w:eastAsia="Times New Roman" w:hAnsi="Times New Roman"/>
                <w:sz w:val="12"/>
                <w:szCs w:val="12"/>
                <w:color w:val="0000FF"/>
              </w:rPr>
              <w:t>1,830,519.498</w:t>
            </w:r>
            <w:r>
              <w:rPr>
                <w:rFonts w:ascii="Times New Roman" w:cs="Times New Roman" w:eastAsia="Times New Roman" w:hAnsi="Times New Roman"/>
                <w:sz w:val="19"/>
                <w:szCs w:val="19"/>
                <w:color w:val="008000"/>
                <w:vertAlign w:val="superscript"/>
              </w:rPr>
              <w:t>(6)</w:t>
            </w:r>
          </w:p>
        </w:tc>
        <w:tc>
          <w:tcPr>
            <w:tcW w:w="3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58"/>
        </w:trPr>
        <w:tc>
          <w:tcPr>
            <w:tcW w:w="6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vMerge w:val="restart"/>
          </w:tcPr>
          <w:p>
            <w:pPr>
              <w:jc w:val="right"/>
              <w:ind w:right="166"/>
              <w:spacing w:after="0" w:line="128" w:lineRule="exact"/>
              <w:rPr>
                <w:sz w:val="20"/>
                <w:szCs w:val="20"/>
                <w:color w:val="auto"/>
              </w:rPr>
            </w:pPr>
            <w:r>
              <w:rPr>
                <w:rFonts w:ascii="Times New Roman" w:cs="Times New Roman" w:eastAsia="Times New Roman" w:hAnsi="Times New Roman"/>
                <w:sz w:val="12"/>
                <w:szCs w:val="12"/>
                <w:color w:val="0000FF"/>
              </w:rPr>
              <w:t>07/01/2026</w:t>
            </w:r>
          </w:p>
        </w:tc>
        <w:tc>
          <w:tcPr>
            <w:tcW w:w="960" w:type="dxa"/>
            <w:vAlign w:val="bottom"/>
          </w:tcPr>
          <w:p>
            <w:pPr>
              <w:spacing w:after="0"/>
              <w:rPr>
                <w:sz w:val="5"/>
                <w:szCs w:val="5"/>
                <w:color w:val="auto"/>
              </w:rPr>
            </w:pPr>
          </w:p>
        </w:tc>
        <w:tc>
          <w:tcPr>
            <w:tcW w:w="760" w:type="dxa"/>
            <w:vAlign w:val="bottom"/>
            <w:vMerge w:val="restart"/>
          </w:tcPr>
          <w:p>
            <w:pPr>
              <w:ind w:left="160"/>
              <w:spacing w:after="0" w:line="128" w:lineRule="exact"/>
              <w:rPr>
                <w:sz w:val="20"/>
                <w:szCs w:val="20"/>
                <w:color w:val="auto"/>
              </w:rPr>
            </w:pPr>
            <w:r>
              <w:rPr>
                <w:rFonts w:ascii="Times New Roman" w:cs="Times New Roman" w:eastAsia="Times New Roman" w:hAnsi="Times New Roman"/>
                <w:sz w:val="12"/>
                <w:szCs w:val="12"/>
                <w:color w:val="0000FF"/>
              </w:rPr>
              <w:t>A</w:t>
            </w: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gridSpan w:val="3"/>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23.8603</w:t>
            </w:r>
          </w:p>
        </w:tc>
        <w:tc>
          <w:tcPr>
            <w:tcW w:w="1200" w:type="dxa"/>
            <w:vAlign w:val="bottom"/>
            <w:gridSpan w:val="3"/>
            <w:vMerge w:val="continue"/>
          </w:tcPr>
          <w:p>
            <w:pPr>
              <w:spacing w:after="0"/>
              <w:rPr>
                <w:sz w:val="5"/>
                <w:szCs w:val="5"/>
                <w:color w:val="auto"/>
              </w:rPr>
            </w:pPr>
          </w:p>
        </w:tc>
        <w:tc>
          <w:tcPr>
            <w:tcW w:w="36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620" w:type="dxa"/>
            <w:vAlign w:val="bottom"/>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760" w:type="dxa"/>
            <w:vAlign w:val="bottom"/>
            <w:tcBorders>
              <w:right w:val="single" w:sz="8" w:color="2C2C2C"/>
            </w:tcBorders>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Management,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right w:val="single" w:sz="8" w:color="2C2C2C"/>
            </w:tcBorders>
            <w:gridSpan w:val="3"/>
            <w:vMerge w:val="restart"/>
          </w:tcPr>
          <w:p>
            <w:pPr>
              <w:ind w:left="60"/>
              <w:spacing w:after="0" w:line="212"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119"/>
        </w:trPr>
        <w:tc>
          <w:tcPr>
            <w:tcW w:w="620" w:type="dxa"/>
            <w:vAlign w:val="bottom"/>
            <w:tcBorders>
              <w:bottom w:val="single" w:sz="8" w:color="2C2C2C"/>
            </w:tcBorders>
            <w:vMerge w:val="continue"/>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7008495</wp:posOffset>
            </wp:positionH>
            <wp:positionV relativeFrom="paragraph">
              <wp:posOffset>-1869440</wp:posOffset>
            </wp:positionV>
            <wp:extent cx="27305" cy="1875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1875790"/>
                    </a:xfrm>
                    <a:prstGeom prst="rect">
                      <a:avLst/>
                    </a:prstGeom>
                    <a:noFill/>
                  </pic:spPr>
                </pic:pic>
              </a:graphicData>
            </a:graphic>
          </wp:anchor>
        </w:drawing>
      </w:r>
    </w:p>
    <w:p>
      <w:pPr>
        <w:spacing w:after="0" w:line="2"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7" w:lineRule="exact"/>
        <w:rPr>
          <w:sz w:val="24"/>
          <w:szCs w:val="24"/>
          <w:color w:val="auto"/>
        </w:rPr>
      </w:pPr>
    </w:p>
    <w:p>
      <w:pPr>
        <w:ind w:left="20" w:right="220" w:firstLine="7"/>
        <w:spacing w:after="0"/>
        <w:tabs>
          <w:tab w:leader="none" w:pos="13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any shares held by Rialto Capital Management, LLC that exceed his pecuniary interest therein, and the inclusion of these shares in this report shall not be deemed an admission of beneficial ownership of all of the reported shares for purposes of Section 16 or for any other purpose.</w:t>
      </w:r>
    </w:p>
    <w:p>
      <w:pPr>
        <w:spacing w:after="0" w:line="24" w:lineRule="exact"/>
        <w:rPr>
          <w:rFonts w:ascii="Times New Roman" w:cs="Times New Roman" w:eastAsia="Times New Roman" w:hAnsi="Times New Roman"/>
          <w:sz w:val="12"/>
          <w:szCs w:val="12"/>
          <w:color w:val="008000"/>
        </w:rPr>
      </w:pPr>
    </w:p>
    <w:p>
      <w:pPr>
        <w:ind w:left="140" w:hanging="11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shares received on account of reinvested distributions.</w:t>
      </w:r>
    </w:p>
    <w:p>
      <w:pPr>
        <w:spacing w:after="0" w:line="35" w:lineRule="exact"/>
        <w:rPr>
          <w:rFonts w:ascii="Times New Roman" w:cs="Times New Roman" w:eastAsia="Times New Roman" w:hAnsi="Times New Roman"/>
          <w:sz w:val="12"/>
          <w:szCs w:val="12"/>
          <w:color w:val="008000"/>
        </w:rPr>
      </w:pPr>
    </w:p>
    <w:p>
      <w:pPr>
        <w:ind w:left="140" w:hanging="11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JTK RCM, LLC is jointly owned by reporting person and his spouse.</w:t>
      </w:r>
    </w:p>
    <w:p>
      <w:pPr>
        <w:spacing w:after="0" w:line="35" w:lineRule="exact"/>
        <w:rPr>
          <w:rFonts w:ascii="Times New Roman" w:cs="Times New Roman" w:eastAsia="Times New Roman" w:hAnsi="Times New Roman"/>
          <w:sz w:val="12"/>
          <w:szCs w:val="12"/>
          <w:color w:val="008000"/>
        </w:rPr>
      </w:pPr>
    </w:p>
    <w:p>
      <w:pPr>
        <w:jc w:val="both"/>
        <w:ind w:left="20" w:right="200" w:firstLine="7"/>
        <w:spacing w:after="0" w:line="233" w:lineRule="auto"/>
        <w:tabs>
          <w:tab w:leader="none" w:pos="13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Advisory Agreement between the Company and the Adviser, the Company shall pay the Adviser an administrative services fee equal to 1.0% of the Company's net asset value per annum, payable quarterly, in Class I Restricted Stock Units, subject to the terms and conditions set forth in the Class I Restricted Stock Unit Agreement (as amended) between the Company and the Adviser. The administrative services fee is split 50/50 between the Adviser and Rialto Capital Management LLC.</w:t>
      </w:r>
    </w:p>
    <w:p>
      <w:pPr>
        <w:spacing w:after="0" w:line="25" w:lineRule="exact"/>
        <w:rPr>
          <w:rFonts w:ascii="Times New Roman" w:cs="Times New Roman" w:eastAsia="Times New Roman" w:hAnsi="Times New Roman"/>
          <w:sz w:val="12"/>
          <w:szCs w:val="12"/>
          <w:color w:val="008000"/>
        </w:rPr>
      </w:pPr>
    </w:p>
    <w:p>
      <w:pPr>
        <w:ind w:left="20" w:right="180" w:firstLine="7"/>
        <w:spacing w:after="0"/>
        <w:tabs>
          <w:tab w:leader="none" w:pos="13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Class I Restricted Stock Unit Agreement (as amended) between the Company, the Adviser and Rialto Capital Management, LLC, Class I Restricted Stock Units shall be exchanged for Class I Common, subject to time based vesting.</w:t>
      </w:r>
    </w:p>
    <w:p>
      <w:pPr>
        <w:spacing w:after="0" w:line="24" w:lineRule="exact"/>
        <w:rPr>
          <w:rFonts w:ascii="Times New Roman" w:cs="Times New Roman" w:eastAsia="Times New Roman" w:hAnsi="Times New Roman"/>
          <w:sz w:val="12"/>
          <w:szCs w:val="12"/>
          <w:color w:val="008000"/>
        </w:rPr>
      </w:pPr>
    </w:p>
    <w:p>
      <w:pPr>
        <w:ind w:left="20" w:right="180" w:firstLine="7"/>
        <w:spacing w:after="0"/>
        <w:tabs>
          <w:tab w:leader="none" w:pos="13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restricted stock units reported is an estimate based on the most recently available net asset value. The actual number of restricted stock units awarded will be determined upon calculation of the applicable grant date net asset value and may differ from the amount reported herein. Accordingly, the number of derivative securities beneficially owned following the reported transaction is also an estimate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w w:val="97"/>
              </w:rPr>
              <w:t>/s/ Jeffrey Krasnoff</w:t>
            </w:r>
          </w:p>
        </w:tc>
        <w:tc>
          <w:tcPr>
            <w:tcW w:w="104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w w:val="96"/>
              </w:rPr>
              <w:t>07/02/2026</w:t>
            </w:r>
          </w:p>
        </w:tc>
      </w:tr>
      <w:tr>
        <w:trPr>
          <w:trHeight w:val="201"/>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68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5" w:lineRule="exact"/>
        <w:rPr>
          <w:sz w:val="24"/>
          <w:szCs w:val="24"/>
          <w:color w:val="auto"/>
        </w:rPr>
      </w:pPr>
    </w:p>
    <w:p>
      <w:pPr>
        <w:jc w:val="both"/>
        <w:ind w:left="20" w:right="4380" w:firstLine="7"/>
        <w:spacing w:after="0" w:line="359" w:lineRule="auto"/>
        <w:tabs>
          <w:tab w:leader="none" w:pos="142"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20"/>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0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49461" TargetMode="External"/><Relationship Id="rId14" Type="http://schemas.openxmlformats.org/officeDocument/2006/relationships/hyperlink" Target="http://www.sec.gov/cgi-bin/browse-edgar?action=getcompany&amp;CIK=0001690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2026-07-02T14:27:26Z</dcterms:created>
  <dcterms:modified xsi:type="dcterms:W3CDTF">2026-07-02T14:27:26Z</dcterms:modified>
</cp:coreProperties>
</file>