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063-1_4seq1.xml.htm"/>
      <w:bookmarkStart w:id="1" w:name="kstm262706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Forman Michael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FS CREDIT REAL ESTATE INCOME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3025 JFK BOULEVARD, OFC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FS Credit Real Estate Income Trust, Inc.</w:t>
              </w:r>
            </w:hyperlink>
            <w:r>
              <w:rPr/>
              <w:t xml:space="preserve"> [ </w:t>
            </w:r>
            <w:r>
              <w:rPr>
                <w:rFonts w:ascii="Times;serif" w:hAnsi="Times;serif"/>
                <w:color w:val="0000FF"/>
                <w:sz w:val="24"/>
                <w:shd w:fill="FFFFFF" w:val="clear"/>
              </w:rPr>
              <w:t>NONE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2"/>
        <w:gridCol w:w="897"/>
        <w:gridCol w:w="772"/>
        <w:gridCol w:w="596"/>
        <w:gridCol w:w="326"/>
        <w:gridCol w:w="1224"/>
        <w:gridCol w:w="393"/>
        <w:gridCol w:w="923"/>
        <w:gridCol w:w="1299"/>
        <w:gridCol w:w="921"/>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I Common Stock</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73,521.756</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23.7573</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213,099.57</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Franklin Square Holdings, L.P.</w:t>
            </w:r>
            <w:r>
              <w:rPr>
                <w:rFonts w:ascii="Times;serif" w:hAnsi="Times;serif"/>
                <w:color w:val="008000"/>
                <w:position w:val="7"/>
                <w:sz w:val="16"/>
                <w:sz w:val="20"/>
                <w:shd w:fill="FFFFFF" w:val="clear"/>
              </w:rPr>
              <w:t>(1)</w:t>
            </w:r>
          </w:p>
        </w:tc>
      </w:tr>
      <w:tr>
        <w:trPr/>
        <w:tc>
          <w:tcPr>
            <w:tcW w:w="17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T Common Stock</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2,506.828</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FSH Seed Capital Vehicle I LLC</w:t>
            </w:r>
            <w:r>
              <w:rPr>
                <w:rFonts w:ascii="Times;serif" w:hAnsi="Times;serif"/>
                <w:color w:val="008000"/>
                <w:position w:val="7"/>
                <w:sz w:val="16"/>
                <w:sz w:val="20"/>
                <w:shd w:fill="FFFFFF" w:val="clear"/>
              </w:rPr>
              <w:t>(1)</w:t>
            </w:r>
          </w:p>
        </w:tc>
      </w:tr>
      <w:tr>
        <w:trPr/>
        <w:tc>
          <w:tcPr>
            <w:tcW w:w="17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M Common Stock</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413.861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FSH Seed Capital Vehicle I LLC</w:t>
            </w:r>
            <w:r>
              <w:rPr>
                <w:rFonts w:ascii="Times;serif" w:hAnsi="Times;serif"/>
                <w:color w:val="008000"/>
                <w:position w:val="7"/>
                <w:sz w:val="16"/>
                <w:sz w:val="20"/>
                <w:shd w:fill="FFFFFF" w:val="clear"/>
              </w:rPr>
              <w:t>(1)</w:t>
            </w:r>
          </w:p>
        </w:tc>
      </w:tr>
      <w:tr>
        <w:trPr/>
        <w:tc>
          <w:tcPr>
            <w:tcW w:w="17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S Common Stock</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428.231</w:t>
            </w:r>
            <w:r>
              <w:rPr>
                <w:rFonts w:ascii="Times;serif" w:hAnsi="Times;serif"/>
                <w:color w:val="008000"/>
                <w:position w:val="7"/>
                <w:sz w:val="16"/>
                <w:sz w:val="20"/>
                <w:shd w:fill="FFFFFF" w:val="clear"/>
              </w:rPr>
              <w:t>(2)</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FSH Seed Capital Vehicle I LLC</w:t>
            </w:r>
            <w:r>
              <w:rPr>
                <w:rFonts w:ascii="Times;serif" w:hAnsi="Times;serif"/>
                <w:color w:val="008000"/>
                <w:position w:val="7"/>
                <w:sz w:val="16"/>
                <w:sz w:val="20"/>
                <w:shd w:fill="FFFFFF" w:val="clear"/>
              </w:rPr>
              <w:t>(1)</w:t>
            </w:r>
          </w:p>
        </w:tc>
      </w:tr>
    </w:tbl>
    <w:tbl>
      <w:tblPr>
        <w:tblW w:w="144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1131"/>
        <w:gridCol w:w="1071"/>
        <w:gridCol w:w="906"/>
        <w:gridCol w:w="801"/>
        <w:gridCol w:w="891"/>
        <w:gridCol w:w="1281"/>
        <w:gridCol w:w="816"/>
        <w:gridCol w:w="1386"/>
        <w:gridCol w:w="831"/>
        <w:gridCol w:w="951"/>
      </w:tblGrid>
      <w:tr>
        <w:trPr>
          <w:tblHeader w:val="true"/>
        </w:trPr>
        <w:tc>
          <w:tcPr>
            <w:tcW w:w="144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2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I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73,521.756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I Common Stock</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73,521.756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23.7573</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1,756,997.742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Franklin Square Holdings, L.P.</w:t>
            </w:r>
            <w:r>
              <w:rPr>
                <w:rFonts w:ascii="Times;serif" w:hAnsi="Times;serif"/>
                <w:color w:val="008000"/>
                <w:position w:val="7"/>
                <w:sz w:val="16"/>
                <w:sz w:val="20"/>
                <w:shd w:fill="FFFFFF" w:val="clear"/>
              </w:rPr>
              <w:t>(1)</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I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157,846.22</w:t>
            </w:r>
            <w:r>
              <w:rPr>
                <w:rFonts w:ascii="Times;serif" w:hAnsi="Times;serif"/>
                <w:color w:val="008000"/>
                <w:position w:val="7"/>
                <w:sz w:val="16"/>
                <w:sz w:val="20"/>
                <w:shd w:fill="FFFFFF" w:val="clear"/>
              </w:rPr>
              <w:t>(5)</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I Common Stock</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157,846.22</w:t>
            </w:r>
            <w:r>
              <w:rPr>
                <w:rFonts w:ascii="Times;serif" w:hAnsi="Times;serif"/>
                <w:color w:val="008000"/>
                <w:position w:val="7"/>
                <w:sz w:val="16"/>
                <w:sz w:val="20"/>
                <w:shd w:fill="FFFFFF" w:val="clear"/>
              </w:rPr>
              <w:t>(5)</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23.7573</w:t>
            </w:r>
          </w:p>
        </w:tc>
        <w:tc>
          <w:tcPr>
            <w:tcW w:w="13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1,914,843.962</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Franklin Square Holdings, L.P.</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any shares held by Franklin Square Holdings, L.P., FS Real Estate Advisor, LLC and FSH Seed Capital Vehicle I LLC, a wholly owned subsidiary of Franklin Square Holdings, L.P., that exceed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received on account of reinvested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Advisory Agreement between the Company and the Adviser, the Company shall pay the Adviser an administrative services fee equal to 1.0% of the Company's net asset value per annum, payable quarterly, in Class I Restricted Stock Units, subject to the terms and conditions set forth in the Class I Restricted Stock Unit Agreement (as amended) between the Company and the Adviser. The administrative services fee is split 50/50 between the Adviser and Rialto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the Class I Restricted Stock Unit Agreement (as amended) between the Company, the Adviser and Rialto Capital Management, LLC, Class I Restricted Stock Units shall be exchanged for Class I Common Stock, subject to time based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restricted stock units reported is an estimate based on the most recently available net asset value. The actual number of restricted stock units awarded will be determined upon calculation of the applicable grant date net asset value and may differ from the amount reported herein. Accordingly, the number of derivative securities beneficially owned following the reported transaction is also an estimate.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 Forman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8253" TargetMode="External"/><Relationship Id="rId5" Type="http://schemas.openxmlformats.org/officeDocument/2006/relationships/hyperlink" Target="http://www.sec.gov/cgi-bin/browse-edgar?action=getcompany&amp;CIK=000169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940</Words>
  <Characters>5054</Characters>
  <CharactersWithSpaces>5883</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