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3" w:lineRule="exact"/>
        <w:rPr>
          <w:sz w:val="24"/>
          <w:szCs w:val="24"/>
          <w:color w:val="auto"/>
        </w:rPr>
      </w:pPr>
    </w:p>
    <w:p>
      <w:pPr>
        <w:ind w:left="300" w:right="80"/>
        <w:spacing w:after="0" w:line="266"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-175260</wp:posOffset>
            </wp:positionV>
            <wp:extent cx="111125" cy="111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04" w:lineRule="exact"/>
        <w:rPr>
          <w:sz w:val="24"/>
          <w:szCs w:val="24"/>
          <w:color w:val="auto"/>
        </w:rPr>
      </w:pPr>
    </w:p>
    <w:p>
      <w:pPr>
        <w:ind w:left="300"/>
        <w:spacing w:after="0" w:line="250"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-524510</wp:posOffset>
            </wp:positionV>
            <wp:extent cx="111125" cy="111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6000" w:type="dxa"/>
            <w:vAlign w:val="bottom"/>
          </w:tcPr>
          <w:p>
            <w:pPr>
              <w:jc w:val="center"/>
              <w:ind w:right="46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jc w:val="center"/>
              <w:ind w:right="464"/>
              <w:spacing w:after="0" w:line="129"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464"/>
              <w:spacing w:after="0" w:line="166" w:lineRule="exact"/>
              <w:rPr>
                <w:sz w:val="20"/>
                <w:szCs w:val="20"/>
                <w:color w:val="auto"/>
              </w:rPr>
            </w:pPr>
            <w:r>
              <w:rPr>
                <w:rFonts w:ascii="Arial" w:cs="Arial" w:eastAsia="Arial" w:hAnsi="Arial"/>
                <w:sz w:val="19"/>
                <w:szCs w:val="19"/>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0" w:type="dxa"/>
            <w:vAlign w:val="bottom"/>
            <w:vMerge w:val="restart"/>
          </w:tcPr>
          <w:p>
            <w:pPr>
              <w:jc w:val="center"/>
              <w:ind w:right="464"/>
              <w:spacing w:after="0"/>
              <w:rPr>
                <w:sz w:val="20"/>
                <w:szCs w:val="20"/>
                <w:color w:val="auto"/>
              </w:rPr>
            </w:pPr>
            <w:r>
              <w:rPr>
                <w:rFonts w:ascii="Arial" w:cs="Arial" w:eastAsia="Arial" w:hAnsi="Arial"/>
                <w:sz w:val="12"/>
                <w:szCs w:val="12"/>
                <w:color w:val="auto"/>
                <w:w w:val="96"/>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5088255</wp:posOffset>
            </wp:positionH>
            <wp:positionV relativeFrom="paragraph">
              <wp:posOffset>-567055</wp:posOffset>
            </wp:positionV>
            <wp:extent cx="55245" cy="580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0390"/>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-567055</wp:posOffset>
            </wp:positionV>
            <wp:extent cx="55245" cy="58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039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-1832610</wp:posOffset>
            </wp:positionH>
            <wp:positionV relativeFrom="paragraph">
              <wp:posOffset>594995</wp:posOffset>
            </wp:positionV>
            <wp:extent cx="7052945" cy="8020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2945" cy="8020685"/>
                    </a:xfrm>
                    <a:prstGeom prst="rect">
                      <a:avLst/>
                    </a:prstGeom>
                    <a:noFill/>
                  </pic:spPr>
                </pic:pic>
              </a:graphicData>
            </a:graphic>
          </wp:anchor>
        </w:drawing>
      </w:r>
    </w:p>
    <w:p>
      <w:pPr>
        <w:spacing w:after="0" w:line="993" w:lineRule="exact"/>
        <w:rPr>
          <w:sz w:val="24"/>
          <w:szCs w:val="24"/>
          <w:color w:val="auto"/>
        </w:rPr>
      </w:pPr>
    </w:p>
    <w:p>
      <w:pPr>
        <w:sectPr>
          <w:pgSz w:w="11900" w:h="16838" w:orient="portrait"/>
          <w:cols w:equalWidth="0" w:num="2">
            <w:col w:w="2280" w:space="580"/>
            <w:col w:w="8220"/>
          </w:cols>
          <w:pgMar w:left="460" w:top="210" w:right="359" w:bottom="0" w:gutter="0" w:footer="0" w:header="0"/>
        </w:sectPr>
      </w:pPr>
    </w:p>
    <w:p>
      <w:pPr>
        <w:spacing w:after="0" w:line="10"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Forman Michael C.</w:t>
        </w:r>
      </w:hyperlink>
    </w:p>
    <w:p>
      <w:pPr>
        <w:spacing w:after="0" w:line="26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0"/>
          <w:szCs w:val="10"/>
          <w:color w:val="auto"/>
        </w:rPr>
        <w:t>(Middle)</w:t>
      </w:r>
    </w:p>
    <w:p>
      <w:pPr>
        <w:spacing w:after="0" w:line="60" w:lineRule="exact"/>
        <w:rPr>
          <w:sz w:val="24"/>
          <w:szCs w:val="24"/>
          <w:color w:val="auto"/>
        </w:rPr>
      </w:pPr>
    </w:p>
    <w:p>
      <w:pPr>
        <w:ind w:left="100"/>
        <w:spacing w:after="0" w:line="358" w:lineRule="auto"/>
        <w:rPr>
          <w:sz w:val="20"/>
          <w:szCs w:val="20"/>
          <w:color w:val="auto"/>
        </w:rPr>
      </w:pPr>
      <w:r>
        <w:rPr>
          <w:rFonts w:ascii="Times New Roman" w:cs="Times New Roman" w:eastAsia="Times New Roman" w:hAnsi="Times New Roman"/>
          <w:sz w:val="15"/>
          <w:szCs w:val="15"/>
          <w:color w:val="0000FF"/>
        </w:rPr>
        <w:t>FS CREDIT REAL ESTATE INCOME TRUST, INC. 3025 JFK BOULEVARD, OFC 500</w:t>
      </w:r>
    </w:p>
    <w:p>
      <w:pPr>
        <w:spacing w:after="0" w:line="150" w:lineRule="exact"/>
        <w:rPr>
          <w:sz w:val="24"/>
          <w:szCs w:val="24"/>
          <w:color w:val="auto"/>
        </w:rPr>
      </w:pPr>
    </w:p>
    <w:p>
      <w:pPr>
        <w:ind w:left="60"/>
        <w:spacing w:after="0"/>
        <w:rPr>
          <w:sz w:val="20"/>
          <w:szCs w:val="20"/>
          <w:color w:val="auto"/>
        </w:rPr>
      </w:pPr>
      <w:r>
        <w:rPr>
          <w:rFonts w:ascii="Arial" w:cs="Arial" w:eastAsia="Arial" w:hAnsi="Arial"/>
          <w:sz w:val="12"/>
          <w:szCs w:val="12"/>
          <w:color w:val="auto"/>
        </w:rPr>
        <w:t>(Street)</w:t>
      </w:r>
    </w:p>
    <w:p>
      <w:pPr>
        <w:spacing w:after="0" w:line="25" w:lineRule="exact"/>
        <w:rPr>
          <w:sz w:val="24"/>
          <w:szCs w:val="24"/>
          <w:color w:val="auto"/>
        </w:rPr>
      </w:pPr>
    </w:p>
    <w:p>
      <w:pPr>
        <w:ind w:left="100"/>
        <w:spacing w:after="0"/>
        <w:tabs>
          <w:tab w:leader="none" w:pos="1300" w:val="left"/>
          <w:tab w:leader="none" w:pos="2540" w:val="left"/>
        </w:tabs>
        <w:rPr>
          <w:sz w:val="20"/>
          <w:szCs w:val="20"/>
          <w:color w:val="auto"/>
        </w:rPr>
      </w:pPr>
      <w:r>
        <w:rPr>
          <w:rFonts w:ascii="Times New Roman" w:cs="Times New Roman" w:eastAsia="Times New Roman" w:hAnsi="Times New Roman"/>
          <w:sz w:val="15"/>
          <w:szCs w:val="15"/>
          <w:color w:val="0000FF"/>
        </w:rPr>
        <w:t>PHILADELPHIA</w:t>
        <w:tab/>
        <w:t>PA</w:t>
      </w:r>
      <w:r>
        <w:rPr>
          <w:sz w:val="20"/>
          <w:szCs w:val="20"/>
          <w:color w:val="auto"/>
        </w:rPr>
        <w:tab/>
      </w:r>
      <w:r>
        <w:rPr>
          <w:rFonts w:ascii="Times New Roman" w:cs="Times New Roman" w:eastAsia="Times New Roman" w:hAnsi="Times New Roman"/>
          <w:sz w:val="15"/>
          <w:szCs w:val="15"/>
          <w:color w:val="0000FF"/>
        </w:rPr>
        <w:t>19104</w:t>
      </w:r>
    </w:p>
    <w:p>
      <w:pPr>
        <w:spacing w:after="0" w:line="29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98"/>
        </w:trPr>
        <w:tc>
          <w:tcPr>
            <w:tcW w:w="3840" w:type="dxa"/>
            <w:vAlign w:val="bottom"/>
            <w:gridSpan w:val="4"/>
          </w:tcPr>
          <w:p>
            <w:pPr>
              <w:ind w:left="60"/>
              <w:spacing w:after="0" w:line="198" w:lineRule="exact"/>
              <w:rPr>
                <w:rFonts w:ascii="Times New Roman" w:cs="Times New Roman" w:eastAsia="Times New Roman" w:hAnsi="Times New Roman"/>
                <w:sz w:val="19"/>
                <w:szCs w:val="19"/>
                <w:color w:val="0000EE"/>
                <w:w w:val="99"/>
              </w:rPr>
            </w:pPr>
            <w:hyperlink r:id="rId14">
              <w:r>
                <w:rPr>
                  <w:rFonts w:ascii="Times New Roman" w:cs="Times New Roman" w:eastAsia="Times New Roman" w:hAnsi="Times New Roman"/>
                  <w:sz w:val="19"/>
                  <w:szCs w:val="19"/>
                  <w:color w:val="0000EE"/>
                  <w:w w:val="99"/>
                </w:rPr>
                <w:t xml:space="preserve">FS Credit Real Estate Income Trust, Inc. </w:t>
              </w:r>
            </w:hyperlink>
            <w:r>
              <w:rPr>
                <w:rFonts w:ascii="Times New Roman" w:cs="Times New Roman" w:eastAsia="Times New Roman" w:hAnsi="Times New Roman"/>
                <w:sz w:val="19"/>
                <w:szCs w:val="19"/>
                <w:color w:val="000000"/>
                <w:w w:val="99"/>
              </w:rPr>
              <w:t>[</w:t>
            </w:r>
            <w:r>
              <w:rPr>
                <w:rFonts w:ascii="Times New Roman" w:cs="Times New Roman" w:eastAsia="Times New Roman" w:hAnsi="Times New Roman"/>
                <w:sz w:val="19"/>
                <w:szCs w:val="19"/>
                <w:color w:val="0000EE"/>
                <w:w w:val="99"/>
              </w:rPr>
              <w:t xml:space="preserve"> </w:t>
            </w:r>
            <w:r>
              <w:rPr>
                <w:rFonts w:ascii="Times New Roman" w:cs="Times New Roman" w:eastAsia="Times New Roman" w:hAnsi="Times New Roman"/>
                <w:sz w:val="15"/>
                <w:szCs w:val="15"/>
                <w:color w:val="0000FF"/>
                <w:w w:val="99"/>
              </w:rPr>
              <w:t>NONE</w:t>
            </w:r>
            <w:r>
              <w:rPr>
                <w:rFonts w:ascii="Times New Roman" w:cs="Times New Roman" w:eastAsia="Times New Roman" w:hAnsi="Times New Roman"/>
                <w:sz w:val="19"/>
                <w:szCs w:val="19"/>
                <w:color w:val="0000EE"/>
                <w:w w:val="99"/>
              </w:rPr>
              <w:t xml:space="preserve"> </w:t>
            </w:r>
            <w:r>
              <w:rPr>
                <w:rFonts w:ascii="Times New Roman" w:cs="Times New Roman" w:eastAsia="Times New Roman" w:hAnsi="Times New Roman"/>
                <w:sz w:val="19"/>
                <w:szCs w:val="19"/>
                <w:color w:val="000000"/>
                <w:w w:val="99"/>
              </w:rPr>
              <w:t>]</w:t>
            </w:r>
          </w:p>
        </w:tc>
        <w:tc>
          <w:tcPr>
            <w:tcW w:w="178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tcPr>
          <w:p>
            <w:pPr>
              <w:ind w:left="580"/>
              <w:spacing w:after="0" w:line="133" w:lineRule="exact"/>
              <w:rPr>
                <w:sz w:val="20"/>
                <w:szCs w:val="20"/>
                <w:color w:val="auto"/>
              </w:rPr>
            </w:pPr>
            <w:r>
              <w:rPr>
                <w:rFonts w:ascii="Arial" w:cs="Arial" w:eastAsia="Arial" w:hAnsi="Arial"/>
                <w:sz w:val="12"/>
                <w:szCs w:val="12"/>
                <w:color w:val="auto"/>
              </w:rPr>
              <w:t>Director</w:t>
            </w:r>
          </w:p>
        </w:tc>
        <w:tc>
          <w:tcPr>
            <w:tcW w:w="1520" w:type="dxa"/>
            <w:vAlign w:val="bottom"/>
          </w:tcPr>
          <w:p>
            <w:pPr>
              <w:ind w:left="380"/>
              <w:spacing w:after="0" w:line="133" w:lineRule="exact"/>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8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520" w:type="dxa"/>
            <w:vAlign w:val="bottom"/>
          </w:tcPr>
          <w:p>
            <w:pPr>
              <w:ind w:left="3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78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52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178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33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5"/>
                <w:szCs w:val="15"/>
                <w:color w:val="0000FF"/>
              </w:rPr>
              <w:t>President &amp; CEO</w:t>
            </w:r>
          </w:p>
        </w:tc>
        <w:tc>
          <w:tcPr>
            <w:tcW w:w="0" w:type="dxa"/>
            <w:vAlign w:val="bottom"/>
          </w:tcPr>
          <w:p>
            <w:pPr>
              <w:spacing w:after="0"/>
              <w:rPr>
                <w:sz w:val="1"/>
                <w:szCs w:val="1"/>
                <w:color w:val="auto"/>
              </w:rPr>
            </w:pPr>
          </w:p>
        </w:tc>
      </w:tr>
      <w:tr>
        <w:trPr>
          <w:trHeight w:val="104"/>
        </w:trPr>
        <w:tc>
          <w:tcPr>
            <w:tcW w:w="3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07/01/2026</w:t>
            </w:r>
          </w:p>
        </w:tc>
        <w:tc>
          <w:tcPr>
            <w:tcW w:w="76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08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395" w:lineRule="exact"/>
        <w:rPr>
          <w:sz w:val="24"/>
          <w:szCs w:val="24"/>
          <w:color w:val="auto"/>
        </w:rPr>
      </w:pPr>
    </w:p>
    <w:p>
      <w:pPr>
        <w:sectPr>
          <w:pgSz w:w="11900" w:h="16838" w:orient="portrait"/>
          <w:cols w:equalWidth="0" w:num="2">
            <w:col w:w="3380" w:space="460"/>
            <w:col w:w="7240"/>
          </w:cols>
          <w:pgMar w:left="460" w:top="210"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940"/>
              <w:spacing w:after="0"/>
              <w:rPr>
                <w:sz w:val="20"/>
                <w:szCs w:val="20"/>
                <w:color w:val="auto"/>
              </w:rPr>
            </w:pPr>
            <w:r>
              <w:rPr>
                <w:rFonts w:ascii="Arial" w:cs="Arial" w:eastAsia="Arial" w:hAnsi="Arial"/>
                <w:sz w:val="10"/>
                <w:szCs w:val="10"/>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0"/>
                <w:szCs w:val="10"/>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0"/>
                <w:szCs w:val="10"/>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0"/>
                <w:szCs w:val="10"/>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0"/>
                <w:szCs w:val="10"/>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1860" w:type="dxa"/>
            <w:vAlign w:val="bottom"/>
          </w:tcPr>
          <w:p>
            <w:pPr>
              <w:ind w:left="940"/>
              <w:spacing w:after="0"/>
              <w:rPr>
                <w:sz w:val="20"/>
                <w:szCs w:val="20"/>
                <w:color w:val="auto"/>
              </w:rPr>
            </w:pPr>
            <w:r>
              <w:rPr>
                <w:rFonts w:ascii="Arial" w:cs="Arial" w:eastAsia="Arial" w:hAnsi="Arial"/>
                <w:sz w:val="10"/>
                <w:szCs w:val="10"/>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0"/>
                <w:szCs w:val="10"/>
                <w:b w:val="1"/>
                <w:bCs w:val="1"/>
                <w:color w:val="auto"/>
              </w:rPr>
              <w:t>Transaction</w:t>
            </w:r>
          </w:p>
        </w:tc>
        <w:tc>
          <w:tcPr>
            <w:tcW w:w="2040" w:type="dxa"/>
            <w:vAlign w:val="bottom"/>
            <w:gridSpan w:val="3"/>
          </w:tcPr>
          <w:p>
            <w:pPr>
              <w:ind w:left="80"/>
              <w:spacing w:after="0"/>
              <w:rPr>
                <w:sz w:val="20"/>
                <w:szCs w:val="20"/>
                <w:color w:val="auto"/>
              </w:rPr>
            </w:pPr>
            <w:r>
              <w:rPr>
                <w:rFonts w:ascii="Arial" w:cs="Arial" w:eastAsia="Arial" w:hAnsi="Arial"/>
                <w:sz w:val="10"/>
                <w:szCs w:val="10"/>
                <w:b w:val="1"/>
                <w:bCs w:val="1"/>
                <w:color w:val="auto"/>
              </w:rPr>
              <w:t>Disposed Of (D) (Instr. 3, 4 and 5)</w:t>
            </w:r>
          </w:p>
        </w:tc>
        <w:tc>
          <w:tcPr>
            <w:tcW w:w="1160" w:type="dxa"/>
            <w:vAlign w:val="bottom"/>
          </w:tcPr>
          <w:p>
            <w:pPr>
              <w:ind w:left="60"/>
              <w:spacing w:after="0"/>
              <w:rPr>
                <w:sz w:val="20"/>
                <w:szCs w:val="20"/>
                <w:color w:val="auto"/>
              </w:rPr>
            </w:pPr>
            <w:r>
              <w:rPr>
                <w:rFonts w:ascii="Arial" w:cs="Arial" w:eastAsia="Arial" w:hAnsi="Arial"/>
                <w:sz w:val="10"/>
                <w:szCs w:val="10"/>
                <w:b w:val="1"/>
                <w:bCs w:val="1"/>
                <w:color w:val="auto"/>
              </w:rPr>
              <w:t>Securities</w:t>
            </w:r>
          </w:p>
        </w:tc>
        <w:tc>
          <w:tcPr>
            <w:tcW w:w="920" w:type="dxa"/>
            <w:vAlign w:val="bottom"/>
          </w:tcPr>
          <w:p>
            <w:pPr>
              <w:ind w:left="60"/>
              <w:spacing w:after="0"/>
              <w:rPr>
                <w:sz w:val="20"/>
                <w:szCs w:val="20"/>
                <w:color w:val="auto"/>
              </w:rPr>
            </w:pPr>
            <w:r>
              <w:rPr>
                <w:rFonts w:ascii="Arial" w:cs="Arial" w:eastAsia="Arial" w:hAnsi="Arial"/>
                <w:sz w:val="10"/>
                <w:szCs w:val="10"/>
                <w:b w:val="1"/>
                <w:bCs w:val="1"/>
                <w:color w:val="auto"/>
              </w:rPr>
              <w:t>Form: Direct (D)</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1860" w:type="dxa"/>
            <w:vAlign w:val="bottom"/>
          </w:tcPr>
          <w:p>
            <w:pPr>
              <w:ind w:left="940"/>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0"/>
                <w:szCs w:val="10"/>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ind w:left="60"/>
              <w:spacing w:after="0"/>
              <w:rPr>
                <w:sz w:val="20"/>
                <w:szCs w:val="20"/>
                <w:color w:val="auto"/>
              </w:rPr>
            </w:pPr>
            <w:r>
              <w:rPr>
                <w:rFonts w:ascii="Arial" w:cs="Arial" w:eastAsia="Arial" w:hAnsi="Arial"/>
                <w:sz w:val="10"/>
                <w:szCs w:val="10"/>
                <w:b w:val="1"/>
                <w:bCs w:val="1"/>
                <w:color w:val="auto"/>
              </w:rPr>
              <w:t>Beneficially Owned</w:t>
            </w:r>
          </w:p>
        </w:tc>
        <w:tc>
          <w:tcPr>
            <w:tcW w:w="920" w:type="dxa"/>
            <w:vAlign w:val="bottom"/>
          </w:tcPr>
          <w:p>
            <w:pPr>
              <w:ind w:left="60"/>
              <w:spacing w:after="0"/>
              <w:rPr>
                <w:sz w:val="20"/>
                <w:szCs w:val="20"/>
                <w:color w:val="auto"/>
              </w:rPr>
            </w:pPr>
            <w:r>
              <w:rPr>
                <w:rFonts w:ascii="Arial" w:cs="Arial" w:eastAsia="Arial" w:hAnsi="Arial"/>
                <w:sz w:val="10"/>
                <w:szCs w:val="10"/>
                <w:b w:val="1"/>
                <w:bCs w:val="1"/>
                <w:color w:val="auto"/>
              </w:rPr>
              <w:t>or Indirect (I)</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ind w:left="60"/>
              <w:spacing w:after="0"/>
              <w:rPr>
                <w:sz w:val="20"/>
                <w:szCs w:val="20"/>
                <w:color w:val="auto"/>
              </w:rPr>
            </w:pPr>
            <w:r>
              <w:rPr>
                <w:rFonts w:ascii="Arial" w:cs="Arial" w:eastAsia="Arial" w:hAnsi="Arial"/>
                <w:sz w:val="10"/>
                <w:szCs w:val="10"/>
                <w:b w:val="1"/>
                <w:bCs w:val="1"/>
                <w:color w:val="auto"/>
              </w:rPr>
              <w:t>Following Reported</w:t>
            </w:r>
          </w:p>
        </w:tc>
        <w:tc>
          <w:tcPr>
            <w:tcW w:w="92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2"/>
        </w:trPr>
        <w:tc>
          <w:tcPr>
            <w:tcW w:w="25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Transaction(s) (Instr.</w:t>
            </w:r>
          </w:p>
        </w:tc>
        <w:tc>
          <w:tcPr>
            <w:tcW w:w="92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5"/>
        </w:trPr>
        <w:tc>
          <w:tcPr>
            <w:tcW w:w="25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2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480" w:type="dxa"/>
            <w:vAlign w:val="bottom"/>
          </w:tcPr>
          <w:p>
            <w:pPr>
              <w:ind w:left="100"/>
              <w:spacing w:after="0"/>
              <w:rPr>
                <w:sz w:val="20"/>
                <w:szCs w:val="20"/>
                <w:color w:val="auto"/>
              </w:rPr>
            </w:pPr>
            <w:r>
              <w:rPr>
                <w:rFonts w:ascii="Arial" w:cs="Arial" w:eastAsia="Arial" w:hAnsi="Arial"/>
                <w:sz w:val="10"/>
                <w:szCs w:val="10"/>
                <w:b w:val="1"/>
                <w:bCs w:val="1"/>
                <w:color w:val="auto"/>
              </w:rPr>
              <w:t>(A) or</w:t>
            </w:r>
          </w:p>
        </w:tc>
        <w:tc>
          <w:tcPr>
            <w:tcW w:w="72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Price</w:t>
            </w:r>
          </w:p>
        </w:tc>
        <w:tc>
          <w:tcPr>
            <w:tcW w:w="1160" w:type="dxa"/>
            <w:vAlign w:val="bottom"/>
          </w:tcPr>
          <w:p>
            <w:pPr>
              <w:ind w:left="60"/>
              <w:spacing w:after="0"/>
              <w:rPr>
                <w:sz w:val="20"/>
                <w:szCs w:val="20"/>
                <w:color w:val="auto"/>
              </w:rPr>
            </w:pPr>
            <w:r>
              <w:rPr>
                <w:rFonts w:ascii="Arial" w:cs="Arial" w:eastAsia="Arial" w:hAnsi="Arial"/>
                <w:sz w:val="10"/>
                <w:szCs w:val="10"/>
                <w:b w:val="1"/>
                <w:bCs w:val="1"/>
                <w:color w:val="auto"/>
              </w:rPr>
              <w:t>3 and 4)</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5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(D)</w:t>
            </w:r>
          </w:p>
        </w:tc>
        <w:tc>
          <w:tcPr>
            <w:tcW w:w="72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5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5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Franklin</w:t>
            </w:r>
          </w:p>
        </w:tc>
        <w:tc>
          <w:tcPr>
            <w:tcW w:w="0" w:type="dxa"/>
            <w:vAlign w:val="bottom"/>
          </w:tcPr>
          <w:p>
            <w:pPr>
              <w:spacing w:after="0"/>
              <w:rPr>
                <w:sz w:val="1"/>
                <w:szCs w:val="1"/>
                <w:color w:val="auto"/>
              </w:rPr>
            </w:pPr>
          </w:p>
        </w:tc>
      </w:tr>
      <w:tr>
        <w:trPr>
          <w:trHeight w:val="187"/>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Class I Common Stock</w:t>
            </w:r>
          </w:p>
        </w:tc>
        <w:tc>
          <w:tcPr>
            <w:tcW w:w="1860" w:type="dxa"/>
            <w:vAlign w:val="bottom"/>
            <w:vMerge w:val="restart"/>
          </w:tcPr>
          <w:p>
            <w:pPr>
              <w:jc w:val="right"/>
              <w:ind w:right="82"/>
              <w:spacing w:after="0"/>
              <w:rPr>
                <w:sz w:val="20"/>
                <w:szCs w:val="20"/>
                <w:color w:val="auto"/>
              </w:rPr>
            </w:pPr>
            <w:r>
              <w:rPr>
                <w:rFonts w:ascii="Times New Roman" w:cs="Times New Roman" w:eastAsia="Times New Roman" w:hAnsi="Times New Roman"/>
                <w:sz w:val="15"/>
                <w:szCs w:val="15"/>
                <w:color w:val="0000FF"/>
              </w:rPr>
              <w:t>07/01/2026</w:t>
            </w:r>
          </w:p>
        </w:tc>
        <w:tc>
          <w:tcPr>
            <w:tcW w:w="980" w:type="dxa"/>
            <w:vAlign w:val="bottom"/>
          </w:tcPr>
          <w:p>
            <w:pPr>
              <w:spacing w:after="0"/>
              <w:rPr>
                <w:sz w:val="16"/>
                <w:szCs w:val="16"/>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840" w:type="dxa"/>
            <w:vAlign w:val="bottom"/>
            <w:vMerge w:val="restart"/>
          </w:tcPr>
          <w:p>
            <w:pPr>
              <w:jc w:val="right"/>
              <w:ind w:right="22"/>
              <w:spacing w:after="0"/>
              <w:rPr>
                <w:sz w:val="20"/>
                <w:szCs w:val="20"/>
                <w:color w:val="auto"/>
              </w:rPr>
            </w:pPr>
            <w:r>
              <w:rPr>
                <w:rFonts w:ascii="Times New Roman" w:cs="Times New Roman" w:eastAsia="Times New Roman" w:hAnsi="Times New Roman"/>
                <w:sz w:val="15"/>
                <w:szCs w:val="15"/>
                <w:color w:val="0000FF"/>
              </w:rPr>
              <w:t>71,346.63</w:t>
            </w: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0000FF"/>
              </w:rPr>
              <w:t>A</w:t>
            </w:r>
          </w:p>
        </w:tc>
        <w:tc>
          <w:tcPr>
            <w:tcW w:w="720" w:type="dxa"/>
            <w:vAlign w:val="bottom"/>
            <w:vMerge w:val="restart"/>
          </w:tcPr>
          <w:p>
            <w:pPr>
              <w:ind w:left="14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23.806</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71,346.63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I</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Square</w:t>
            </w:r>
          </w:p>
        </w:tc>
        <w:tc>
          <w:tcPr>
            <w:tcW w:w="0" w:type="dxa"/>
            <w:vAlign w:val="bottom"/>
          </w:tcPr>
          <w:p>
            <w:pPr>
              <w:spacing w:after="0"/>
              <w:rPr>
                <w:sz w:val="1"/>
                <w:szCs w:val="1"/>
                <w:color w:val="auto"/>
              </w:rPr>
            </w:pPr>
          </w:p>
        </w:tc>
      </w:tr>
      <w:tr>
        <w:trPr>
          <w:trHeight w:val="106"/>
        </w:trPr>
        <w:tc>
          <w:tcPr>
            <w:tcW w:w="25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Holdings,</w:t>
            </w: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L.P.</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By: FSH</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Seed</w:t>
            </w:r>
          </w:p>
        </w:tc>
        <w:tc>
          <w:tcPr>
            <w:tcW w:w="0" w:type="dxa"/>
            <w:vAlign w:val="bottom"/>
          </w:tcPr>
          <w:p>
            <w:pPr>
              <w:spacing w:after="0"/>
              <w:rPr>
                <w:sz w:val="1"/>
                <w:szCs w:val="1"/>
                <w:color w:val="auto"/>
              </w:rPr>
            </w:pPr>
          </w:p>
        </w:tc>
      </w:tr>
      <w:tr>
        <w:trPr>
          <w:trHeight w:val="187"/>
        </w:trPr>
        <w:tc>
          <w:tcPr>
            <w:tcW w:w="25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Class T Common Stock</w:t>
            </w: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2,506.828</w:t>
            </w:r>
          </w:p>
        </w:tc>
        <w:tc>
          <w:tcPr>
            <w:tcW w:w="92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I</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Capital</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Vehicle I</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LLC</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By: FSH</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Seed</w:t>
            </w:r>
          </w:p>
        </w:tc>
        <w:tc>
          <w:tcPr>
            <w:tcW w:w="0" w:type="dxa"/>
            <w:vAlign w:val="bottom"/>
          </w:tcPr>
          <w:p>
            <w:pPr>
              <w:spacing w:after="0"/>
              <w:rPr>
                <w:sz w:val="1"/>
                <w:szCs w:val="1"/>
                <w:color w:val="auto"/>
              </w:rPr>
            </w:pPr>
          </w:p>
        </w:tc>
      </w:tr>
      <w:tr>
        <w:trPr>
          <w:trHeight w:val="187"/>
        </w:trPr>
        <w:tc>
          <w:tcPr>
            <w:tcW w:w="25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Class M Common Stock</w:t>
            </w: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413.861</w:t>
            </w:r>
          </w:p>
        </w:tc>
        <w:tc>
          <w:tcPr>
            <w:tcW w:w="92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I</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Capital</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Vehicle I</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LLC</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By: FSH</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Seed</w:t>
            </w:r>
          </w:p>
        </w:tc>
        <w:tc>
          <w:tcPr>
            <w:tcW w:w="0" w:type="dxa"/>
            <w:vAlign w:val="bottom"/>
          </w:tcPr>
          <w:p>
            <w:pPr>
              <w:spacing w:after="0"/>
              <w:rPr>
                <w:sz w:val="1"/>
                <w:szCs w:val="1"/>
                <w:color w:val="auto"/>
              </w:rPr>
            </w:pPr>
          </w:p>
        </w:tc>
      </w:tr>
      <w:tr>
        <w:trPr>
          <w:trHeight w:val="187"/>
        </w:trPr>
        <w:tc>
          <w:tcPr>
            <w:tcW w:w="25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Class S Common Stock</w:t>
            </w: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412.313</w:t>
            </w:r>
          </w:p>
        </w:tc>
        <w:tc>
          <w:tcPr>
            <w:tcW w:w="92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I</w:t>
            </w: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Capital</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Vehicle I</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LLC</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(e.g., puts, calls, warrants, options, convertible securities)</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2.</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5. Number of Derivative</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10.</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11. Nature</w:t>
            </w:r>
          </w:p>
        </w:tc>
      </w:tr>
      <w:tr>
        <w:trPr>
          <w:trHeight w:val="117"/>
        </w:trPr>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Transaction</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Securities Acquired (A)</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Securities Underlying</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Ownership</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of Indirect</w:t>
            </w:r>
          </w:p>
        </w:tc>
      </w:tr>
      <w:tr>
        <w:trPr>
          <w:trHeight w:val="117"/>
        </w:trPr>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or Exercise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Code (Instr.</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or Disposed of (D) (Instr.</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 Security (Instr. 3</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Securities</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Form:</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Beneficial</w:t>
            </w:r>
          </w:p>
        </w:tc>
      </w:tr>
      <w:tr>
        <w:trPr>
          <w:trHeight w:val="117"/>
        </w:trPr>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(Instr. 3)</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Price of</w:t>
            </w:r>
          </w:p>
        </w:tc>
        <w:tc>
          <w:tcPr>
            <w:tcW w:w="98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3, 4 and 5)</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ind w:left="60"/>
              <w:spacing w:after="0"/>
              <w:rPr>
                <w:sz w:val="20"/>
                <w:szCs w:val="20"/>
                <w:color w:val="auto"/>
              </w:rPr>
            </w:pPr>
            <w:r>
              <w:rPr>
                <w:rFonts w:ascii="Arial" w:cs="Arial" w:eastAsia="Arial" w:hAnsi="Arial"/>
                <w:sz w:val="10"/>
                <w:szCs w:val="10"/>
                <w:b w:val="1"/>
                <w:bCs w:val="1"/>
                <w:color w:val="auto"/>
              </w:rPr>
              <w:t>and 4)</w:t>
            </w:r>
          </w:p>
        </w:tc>
        <w:tc>
          <w:tcPr>
            <w:tcW w:w="9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(Instr. 5)</w:t>
            </w: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Beneficially</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Direct (D)</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Ownership</w:t>
            </w:r>
          </w:p>
        </w:tc>
      </w:tr>
      <w:tr>
        <w:trPr>
          <w:trHeight w:val="120"/>
        </w:trPr>
        <w:tc>
          <w:tcPr>
            <w:tcW w:w="62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Owned</w:t>
            </w:r>
          </w:p>
        </w:tc>
        <w:tc>
          <w:tcPr>
            <w:tcW w:w="700" w:type="dxa"/>
            <w:vAlign w:val="bottom"/>
          </w:tcPr>
          <w:p>
            <w:pPr>
              <w:ind w:left="100"/>
              <w:spacing w:after="0"/>
              <w:rPr>
                <w:sz w:val="20"/>
                <w:szCs w:val="20"/>
                <w:color w:val="auto"/>
              </w:rPr>
            </w:pPr>
            <w:r>
              <w:rPr>
                <w:rFonts w:ascii="Arial" w:cs="Arial" w:eastAsia="Arial" w:hAnsi="Arial"/>
                <w:sz w:val="10"/>
                <w:szCs w:val="10"/>
                <w:b w:val="1"/>
                <w:bCs w:val="1"/>
                <w:color w:val="auto"/>
              </w:rPr>
              <w:t>or Indirect</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r>
      <w:tr>
        <w:trPr>
          <w:trHeight w:val="93"/>
        </w:trPr>
        <w:tc>
          <w:tcPr>
            <w:tcW w:w="620" w:type="dxa"/>
            <w:vAlign w:val="bottom"/>
          </w:tcPr>
          <w:p>
            <w:pPr>
              <w:spacing w:after="0"/>
              <w:rPr>
                <w:sz w:val="8"/>
                <w:szCs w:val="8"/>
                <w:color w:val="auto"/>
              </w:rPr>
            </w:pPr>
          </w:p>
        </w:tc>
        <w:tc>
          <w:tcPr>
            <w:tcW w:w="72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Security</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Following</w:t>
            </w:r>
          </w:p>
        </w:tc>
        <w:tc>
          <w:tcPr>
            <w:tcW w:w="700" w:type="dxa"/>
            <w:vAlign w:val="bottom"/>
          </w:tcPr>
          <w:p>
            <w:pPr>
              <w:ind w:left="100"/>
              <w:spacing w:after="0" w:line="93" w:lineRule="exact"/>
              <w:rPr>
                <w:sz w:val="20"/>
                <w:szCs w:val="20"/>
                <w:color w:val="auto"/>
              </w:rPr>
            </w:pPr>
            <w:r>
              <w:rPr>
                <w:rFonts w:ascii="Arial" w:cs="Arial" w:eastAsia="Arial" w:hAnsi="Arial"/>
                <w:sz w:val="10"/>
                <w:szCs w:val="10"/>
                <w:b w:val="1"/>
                <w:bCs w:val="1"/>
                <w:color w:val="auto"/>
              </w:rPr>
              <w:t>(I) (Instr. 4)</w:t>
            </w:r>
          </w:p>
        </w:tc>
        <w:tc>
          <w:tcPr>
            <w:tcW w:w="660" w:type="dxa"/>
            <w:vAlign w:val="bottom"/>
          </w:tcPr>
          <w:p>
            <w:pPr>
              <w:spacing w:after="0"/>
              <w:rPr>
                <w:sz w:val="8"/>
                <w:szCs w:val="8"/>
                <w:color w:val="auto"/>
              </w:rPr>
            </w:pPr>
          </w:p>
        </w:tc>
      </w:tr>
      <w:tr>
        <w:trPr>
          <w:trHeight w:val="117"/>
        </w:trPr>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120"/>
              <w:spacing w:after="0"/>
              <w:rPr>
                <w:sz w:val="20"/>
                <w:szCs w:val="20"/>
                <w:color w:val="auto"/>
              </w:rPr>
            </w:pPr>
            <w:r>
              <w:rPr>
                <w:rFonts w:ascii="Arial" w:cs="Arial" w:eastAsia="Arial" w:hAnsi="Arial"/>
                <w:sz w:val="10"/>
                <w:szCs w:val="10"/>
                <w:b w:val="1"/>
                <w:bCs w:val="1"/>
                <w:color w:val="auto"/>
              </w:rPr>
              <w:t>Amount or</w:t>
            </w:r>
          </w:p>
        </w:tc>
        <w:tc>
          <w:tcPr>
            <w:tcW w:w="62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Reported</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17"/>
        </w:trPr>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Expiration</w:t>
            </w:r>
          </w:p>
        </w:tc>
        <w:tc>
          <w:tcPr>
            <w:tcW w:w="500" w:type="dxa"/>
            <w:vAlign w:val="bottom"/>
          </w:tcPr>
          <w:p>
            <w:pPr>
              <w:spacing w:after="0"/>
              <w:rPr>
                <w:sz w:val="10"/>
                <w:szCs w:val="10"/>
                <w:color w:val="auto"/>
              </w:rPr>
            </w:pPr>
          </w:p>
        </w:tc>
        <w:tc>
          <w:tcPr>
            <w:tcW w:w="980" w:type="dxa"/>
            <w:vAlign w:val="bottom"/>
          </w:tcPr>
          <w:p>
            <w:pPr>
              <w:ind w:left="120"/>
              <w:spacing w:after="0"/>
              <w:rPr>
                <w:sz w:val="20"/>
                <w:szCs w:val="20"/>
                <w:color w:val="auto"/>
              </w:rPr>
            </w:pPr>
            <w:r>
              <w:rPr>
                <w:rFonts w:ascii="Arial" w:cs="Arial" w:eastAsia="Arial" w:hAnsi="Arial"/>
                <w:sz w:val="10"/>
                <w:szCs w:val="10"/>
                <w:b w:val="1"/>
                <w:bCs w:val="1"/>
                <w:color w:val="auto"/>
              </w:rPr>
              <w:t>Number of</w:t>
            </w:r>
          </w:p>
        </w:tc>
        <w:tc>
          <w:tcPr>
            <w:tcW w:w="62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Transaction(s)</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3"/>
        </w:trPr>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640" w:type="dxa"/>
            <w:vAlign w:val="bottom"/>
          </w:tcPr>
          <w:p>
            <w:pPr>
              <w:ind w:left="120"/>
              <w:spacing w:after="0"/>
              <w:rPr>
                <w:sz w:val="20"/>
                <w:szCs w:val="20"/>
                <w:color w:val="auto"/>
              </w:rPr>
            </w:pPr>
            <w:r>
              <w:rPr>
                <w:rFonts w:ascii="Arial" w:cs="Arial" w:eastAsia="Arial" w:hAnsi="Arial"/>
                <w:sz w:val="10"/>
                <w:szCs w:val="10"/>
                <w:b w:val="1"/>
                <w:bCs w:val="1"/>
                <w:color w:val="auto"/>
              </w:rPr>
              <w:t>(D)</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980" w:type="dxa"/>
            <w:vAlign w:val="bottom"/>
          </w:tcPr>
          <w:p>
            <w:pPr>
              <w:ind w:left="120"/>
              <w:spacing w:after="0"/>
              <w:rPr>
                <w:sz w:val="20"/>
                <w:szCs w:val="20"/>
                <w:color w:val="auto"/>
              </w:rPr>
            </w:pPr>
            <w:r>
              <w:rPr>
                <w:rFonts w:ascii="Arial" w:cs="Arial" w:eastAsia="Arial" w:hAnsi="Arial"/>
                <w:sz w:val="10"/>
                <w:szCs w:val="10"/>
                <w:b w:val="1"/>
                <w:bCs w:val="1"/>
                <w:color w:val="auto"/>
              </w:rPr>
              <w:t>Shares</w:t>
            </w:r>
          </w:p>
        </w:tc>
        <w:tc>
          <w:tcPr>
            <w:tcW w:w="620" w:type="dxa"/>
            <w:vAlign w:val="bottom"/>
          </w:tcPr>
          <w:p>
            <w:pPr>
              <w:spacing w:after="0"/>
              <w:rPr>
                <w:sz w:val="12"/>
                <w:szCs w:val="12"/>
                <w:color w:val="auto"/>
              </w:rPr>
            </w:pP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2"/>
        </w:trPr>
        <w:tc>
          <w:tcPr>
            <w:tcW w:w="6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I</w:t>
            </w: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0"/>
        </w:trPr>
        <w:tc>
          <w:tcPr>
            <w:tcW w:w="7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restart"/>
          </w:tcPr>
          <w:p>
            <w:pPr>
              <w:jc w:val="center"/>
              <w:ind w:left="42"/>
              <w:spacing w:after="0" w:line="129" w:lineRule="exact"/>
              <w:rPr>
                <w:sz w:val="20"/>
                <w:szCs w:val="20"/>
                <w:color w:val="auto"/>
              </w:rPr>
            </w:pPr>
            <w:r>
              <w:rPr>
                <w:rFonts w:ascii="Times New Roman" w:cs="Times New Roman" w:eastAsia="Times New Roman" w:hAnsi="Times New Roman"/>
                <w:sz w:val="12"/>
                <w:szCs w:val="12"/>
                <w:color w:val="0000FF"/>
                <w:w w:val="96"/>
              </w:rPr>
              <w:t>Class I</w:t>
            </w: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vMerge w:val="restart"/>
          </w:tcPr>
          <w:p>
            <w:pPr>
              <w:ind w:left="180"/>
              <w:spacing w:after="0" w:line="129" w:lineRule="exact"/>
              <w:rPr>
                <w:sz w:val="20"/>
                <w:szCs w:val="20"/>
                <w:color w:val="auto"/>
              </w:rPr>
            </w:pPr>
            <w:r>
              <w:rPr>
                <w:rFonts w:ascii="Times New Roman" w:cs="Times New Roman" w:eastAsia="Times New Roman" w:hAnsi="Times New Roman"/>
                <w:sz w:val="12"/>
                <w:szCs w:val="12"/>
                <w:color w:val="0000FF"/>
              </w:rPr>
              <w:t>Franklin</w:t>
            </w:r>
          </w:p>
        </w:tc>
        <w:tc>
          <w:tcPr>
            <w:tcW w:w="0" w:type="dxa"/>
            <w:vAlign w:val="bottom"/>
          </w:tcPr>
          <w:p>
            <w:pPr>
              <w:spacing w:after="0"/>
              <w:rPr>
                <w:sz w:val="1"/>
                <w:szCs w:val="1"/>
                <w:color w:val="auto"/>
              </w:rPr>
            </w:pPr>
          </w:p>
        </w:tc>
      </w:tr>
      <w:tr>
        <w:trPr>
          <w:trHeight w:val="58"/>
        </w:trPr>
        <w:tc>
          <w:tcPr>
            <w:tcW w:w="74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5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40" w:type="dxa"/>
            <w:vAlign w:val="bottom"/>
            <w:vMerge w:val="restart"/>
          </w:tcPr>
          <w:p>
            <w:pPr>
              <w:jc w:val="right"/>
              <w:ind w:right="104"/>
              <w:spacing w:after="0"/>
              <w:rPr>
                <w:sz w:val="20"/>
                <w:szCs w:val="20"/>
                <w:color w:val="auto"/>
              </w:rPr>
            </w:pPr>
            <w:r>
              <w:rPr>
                <w:rFonts w:ascii="Times New Roman" w:cs="Times New Roman" w:eastAsia="Times New Roman" w:hAnsi="Times New Roman"/>
                <w:sz w:val="15"/>
                <w:szCs w:val="15"/>
                <w:color w:val="0000FF"/>
              </w:rPr>
              <w:t>71,346.63</w:t>
            </w:r>
          </w:p>
        </w:tc>
        <w:tc>
          <w:tcPr>
            <w:tcW w:w="600" w:type="dxa"/>
            <w:vAlign w:val="bottom"/>
          </w:tcPr>
          <w:p>
            <w:pPr>
              <w:spacing w:after="0"/>
              <w:rPr>
                <w:sz w:val="5"/>
                <w:szCs w:val="5"/>
                <w:color w:val="auto"/>
              </w:rPr>
            </w:pPr>
          </w:p>
        </w:tc>
        <w:tc>
          <w:tcPr>
            <w:tcW w:w="1040" w:type="dxa"/>
            <w:vAlign w:val="bottom"/>
            <w:vMerge w:val="restart"/>
          </w:tcPr>
          <w:p>
            <w:pPr>
              <w:jc w:val="right"/>
              <w:ind w:right="122"/>
              <w:spacing w:after="0" w:line="197" w:lineRule="exact"/>
              <w:rPr>
                <w:sz w:val="20"/>
                <w:szCs w:val="20"/>
                <w:color w:val="auto"/>
              </w:rPr>
            </w:pPr>
            <w:r>
              <w:rPr>
                <w:rFonts w:ascii="Times New Roman" w:cs="Times New Roman" w:eastAsia="Times New Roman" w:hAnsi="Times New Roman"/>
                <w:sz w:val="12"/>
                <w:szCs w:val="12"/>
                <w:color w:val="0000FF"/>
              </w:rPr>
              <w:t>1,673,354.668</w:t>
            </w:r>
            <w:r>
              <w:rPr>
                <w:rFonts w:ascii="Times New Roman" w:cs="Times New Roman" w:eastAsia="Times New Roman" w:hAnsi="Times New Roman"/>
                <w:sz w:val="19"/>
                <w:szCs w:val="19"/>
                <w:color w:val="008000"/>
                <w:vertAlign w:val="superscript"/>
              </w:rPr>
              <w:t>(4)</w:t>
            </w:r>
          </w:p>
        </w:tc>
        <w:tc>
          <w:tcPr>
            <w:tcW w:w="4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40" w:type="dxa"/>
            <w:vAlign w:val="bottom"/>
            <w:vMerge w:val="continue"/>
          </w:tcPr>
          <w:p>
            <w:pPr>
              <w:spacing w:after="0"/>
              <w:rPr>
                <w:sz w:val="6"/>
                <w:szCs w:val="6"/>
                <w:color w:val="auto"/>
              </w:rPr>
            </w:pPr>
          </w:p>
        </w:tc>
        <w:tc>
          <w:tcPr>
            <w:tcW w:w="56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(2)</w:t>
            </w:r>
          </w:p>
        </w:tc>
        <w:tc>
          <w:tcPr>
            <w:tcW w:w="1460" w:type="dxa"/>
            <w:vAlign w:val="bottom"/>
            <w:vMerge w:val="restart"/>
          </w:tcPr>
          <w:p>
            <w:pPr>
              <w:jc w:val="right"/>
              <w:ind w:right="622"/>
              <w:spacing w:after="0"/>
              <w:rPr>
                <w:sz w:val="20"/>
                <w:szCs w:val="20"/>
                <w:color w:val="auto"/>
              </w:rPr>
            </w:pPr>
            <w:r>
              <w:rPr>
                <w:rFonts w:ascii="Times New Roman" w:cs="Times New Roman" w:eastAsia="Times New Roman" w:hAnsi="Times New Roman"/>
                <w:sz w:val="12"/>
                <w:szCs w:val="12"/>
                <w:color w:val="0000FF"/>
              </w:rPr>
              <w:t>07/01/2026</w:t>
            </w: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12"/>
                <w:szCs w:val="12"/>
                <w:color w:val="0000FF"/>
              </w:rPr>
              <w:t>D</w:t>
            </w:r>
          </w:p>
        </w:tc>
        <w:tc>
          <w:tcPr>
            <w:tcW w:w="168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0000FF"/>
              </w:rPr>
              <w:t>71,346.63</w:t>
            </w:r>
          </w:p>
        </w:tc>
        <w:tc>
          <w:tcPr>
            <w:tcW w:w="58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jc w:val="right"/>
              <w:ind w:right="111"/>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940" w:type="dxa"/>
            <w:vAlign w:val="bottom"/>
            <w:vMerge w:val="continue"/>
          </w:tcPr>
          <w:p>
            <w:pPr>
              <w:spacing w:after="0"/>
              <w:rPr>
                <w:sz w:val="6"/>
                <w:szCs w:val="6"/>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23.8603</w:t>
            </w:r>
          </w:p>
        </w:tc>
        <w:tc>
          <w:tcPr>
            <w:tcW w:w="1040" w:type="dxa"/>
            <w:vAlign w:val="bottom"/>
            <w:vMerge w:val="continue"/>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I</w:t>
            </w: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Square</w:t>
            </w:r>
          </w:p>
        </w:tc>
        <w:tc>
          <w:tcPr>
            <w:tcW w:w="0" w:type="dxa"/>
            <w:vAlign w:val="bottom"/>
          </w:tcPr>
          <w:p>
            <w:pPr>
              <w:spacing w:after="0"/>
              <w:rPr>
                <w:sz w:val="1"/>
                <w:szCs w:val="1"/>
                <w:color w:val="auto"/>
              </w:rPr>
            </w:pPr>
          </w:p>
        </w:tc>
      </w:tr>
      <w:tr>
        <w:trPr>
          <w:trHeight w:val="69"/>
        </w:trPr>
        <w:tc>
          <w:tcPr>
            <w:tcW w:w="74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7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jc w:val="center"/>
              <w:ind w:left="42"/>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vMerge w:val="restart"/>
          </w:tcPr>
          <w:p>
            <w:pPr>
              <w:ind w:left="180"/>
              <w:spacing w:after="0" w:line="117" w:lineRule="exact"/>
              <w:rPr>
                <w:sz w:val="20"/>
                <w:szCs w:val="20"/>
                <w:color w:val="auto"/>
              </w:rPr>
            </w:pPr>
            <w:r>
              <w:rPr>
                <w:rFonts w:ascii="Times New Roman" w:cs="Times New Roman" w:eastAsia="Times New Roman" w:hAnsi="Times New Roman"/>
                <w:sz w:val="12"/>
                <w:szCs w:val="12"/>
                <w:color w:val="0000FF"/>
              </w:rPr>
              <w:t>Holdings,</w:t>
            </w:r>
          </w:p>
        </w:tc>
        <w:tc>
          <w:tcPr>
            <w:tcW w:w="0" w:type="dxa"/>
            <w:vAlign w:val="bottom"/>
          </w:tcPr>
          <w:p>
            <w:pPr>
              <w:spacing w:after="0"/>
              <w:rPr>
                <w:sz w:val="1"/>
                <w:szCs w:val="1"/>
                <w:color w:val="auto"/>
              </w:rPr>
            </w:pPr>
          </w:p>
        </w:tc>
      </w:tr>
      <w:tr>
        <w:trPr>
          <w:trHeight w:val="58"/>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7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vMerge w:val="restart"/>
          </w:tcPr>
          <w:p>
            <w:pPr>
              <w:ind w:left="180"/>
              <w:spacing w:after="0" w:line="210"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121"/>
        </w:trPr>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I</w:t>
            </w: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0"/>
        </w:trPr>
        <w:tc>
          <w:tcPr>
            <w:tcW w:w="7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restart"/>
          </w:tcPr>
          <w:p>
            <w:pPr>
              <w:jc w:val="center"/>
              <w:ind w:left="42"/>
              <w:spacing w:after="0" w:line="129" w:lineRule="exact"/>
              <w:rPr>
                <w:sz w:val="20"/>
                <w:szCs w:val="20"/>
                <w:color w:val="auto"/>
              </w:rPr>
            </w:pPr>
            <w:r>
              <w:rPr>
                <w:rFonts w:ascii="Times New Roman" w:cs="Times New Roman" w:eastAsia="Times New Roman" w:hAnsi="Times New Roman"/>
                <w:sz w:val="12"/>
                <w:szCs w:val="12"/>
                <w:color w:val="0000FF"/>
                <w:w w:val="96"/>
              </w:rPr>
              <w:t>Class I</w:t>
            </w: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vMerge w:val="restart"/>
          </w:tcPr>
          <w:p>
            <w:pPr>
              <w:ind w:left="180"/>
              <w:spacing w:after="0" w:line="129" w:lineRule="exact"/>
              <w:rPr>
                <w:sz w:val="20"/>
                <w:szCs w:val="20"/>
                <w:color w:val="auto"/>
              </w:rPr>
            </w:pPr>
            <w:r>
              <w:rPr>
                <w:rFonts w:ascii="Times New Roman" w:cs="Times New Roman" w:eastAsia="Times New Roman" w:hAnsi="Times New Roman"/>
                <w:sz w:val="12"/>
                <w:szCs w:val="12"/>
                <w:color w:val="0000FF"/>
              </w:rPr>
              <w:t>Franklin</w:t>
            </w:r>
          </w:p>
        </w:tc>
        <w:tc>
          <w:tcPr>
            <w:tcW w:w="0" w:type="dxa"/>
            <w:vAlign w:val="bottom"/>
          </w:tcPr>
          <w:p>
            <w:pPr>
              <w:spacing w:after="0"/>
              <w:rPr>
                <w:sz w:val="1"/>
                <w:szCs w:val="1"/>
                <w:color w:val="auto"/>
              </w:rPr>
            </w:pPr>
          </w:p>
        </w:tc>
      </w:tr>
      <w:tr>
        <w:trPr>
          <w:trHeight w:val="58"/>
        </w:trPr>
        <w:tc>
          <w:tcPr>
            <w:tcW w:w="74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5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vMerge w:val="restart"/>
          </w:tcPr>
          <w:p>
            <w:pPr>
              <w:jc w:val="right"/>
              <w:ind w:right="702"/>
              <w:spacing w:after="0" w:line="197" w:lineRule="exact"/>
              <w:rPr>
                <w:sz w:val="20"/>
                <w:szCs w:val="20"/>
                <w:color w:val="auto"/>
              </w:rPr>
            </w:pPr>
            <w:r>
              <w:rPr>
                <w:rFonts w:ascii="Times New Roman" w:cs="Times New Roman" w:eastAsia="Times New Roman" w:hAnsi="Times New Roman"/>
                <w:sz w:val="12"/>
                <w:szCs w:val="12"/>
                <w:color w:val="0000FF"/>
              </w:rPr>
              <w:t>157,164.83</w:t>
            </w:r>
            <w:r>
              <w:rPr>
                <w:rFonts w:ascii="Times New Roman" w:cs="Times New Roman" w:eastAsia="Times New Roman" w:hAnsi="Times New Roman"/>
                <w:sz w:val="19"/>
                <w:szCs w:val="19"/>
                <w:color w:val="008000"/>
                <w:vertAlign w:val="superscript"/>
              </w:rPr>
              <w:t>(4)</w:t>
            </w: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40" w:type="dxa"/>
            <w:vAlign w:val="bottom"/>
            <w:vMerge w:val="restart"/>
          </w:tcPr>
          <w:p>
            <w:pPr>
              <w:jc w:val="center"/>
              <w:spacing w:after="0" w:line="197" w:lineRule="exact"/>
              <w:rPr>
                <w:sz w:val="20"/>
                <w:szCs w:val="20"/>
                <w:color w:val="auto"/>
              </w:rPr>
            </w:pPr>
            <w:r>
              <w:rPr>
                <w:rFonts w:ascii="Times New Roman" w:cs="Times New Roman" w:eastAsia="Times New Roman" w:hAnsi="Times New Roman"/>
                <w:sz w:val="15"/>
                <w:szCs w:val="15"/>
                <w:color w:val="0000FF"/>
              </w:rPr>
              <w:t>157,164.83</w:t>
            </w:r>
            <w:r>
              <w:rPr>
                <w:rFonts w:ascii="Times New Roman" w:cs="Times New Roman" w:eastAsia="Times New Roman" w:hAnsi="Times New Roman"/>
                <w:sz w:val="19"/>
                <w:szCs w:val="19"/>
                <w:color w:val="008000"/>
                <w:vertAlign w:val="superscript"/>
              </w:rPr>
              <w:t>(4)</w:t>
            </w:r>
          </w:p>
        </w:tc>
        <w:tc>
          <w:tcPr>
            <w:tcW w:w="600" w:type="dxa"/>
            <w:vAlign w:val="bottom"/>
          </w:tcPr>
          <w:p>
            <w:pPr>
              <w:spacing w:after="0"/>
              <w:rPr>
                <w:sz w:val="5"/>
                <w:szCs w:val="5"/>
                <w:color w:val="auto"/>
              </w:rPr>
            </w:pPr>
          </w:p>
        </w:tc>
        <w:tc>
          <w:tcPr>
            <w:tcW w:w="1040" w:type="dxa"/>
            <w:vAlign w:val="bottom"/>
            <w:vMerge w:val="restart"/>
          </w:tcPr>
          <w:p>
            <w:pPr>
              <w:jc w:val="right"/>
              <w:ind w:right="122"/>
              <w:spacing w:after="0" w:line="197" w:lineRule="exact"/>
              <w:rPr>
                <w:sz w:val="20"/>
                <w:szCs w:val="20"/>
                <w:color w:val="auto"/>
              </w:rPr>
            </w:pPr>
            <w:r>
              <w:rPr>
                <w:rFonts w:ascii="Times New Roman" w:cs="Times New Roman" w:eastAsia="Times New Roman" w:hAnsi="Times New Roman"/>
                <w:sz w:val="12"/>
                <w:szCs w:val="12"/>
                <w:color w:val="0000FF"/>
              </w:rPr>
              <w:t>1,830,519.498</w:t>
            </w:r>
            <w:r>
              <w:rPr>
                <w:rFonts w:ascii="Times New Roman" w:cs="Times New Roman" w:eastAsia="Times New Roman" w:hAnsi="Times New Roman"/>
                <w:sz w:val="19"/>
                <w:szCs w:val="19"/>
                <w:color w:val="008000"/>
                <w:vertAlign w:val="superscript"/>
              </w:rPr>
              <w:t>(4)</w:t>
            </w:r>
          </w:p>
        </w:tc>
        <w:tc>
          <w:tcPr>
            <w:tcW w:w="4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40" w:type="dxa"/>
            <w:vAlign w:val="bottom"/>
            <w:vMerge w:val="continue"/>
          </w:tcPr>
          <w:p>
            <w:pPr>
              <w:spacing w:after="0"/>
              <w:rPr>
                <w:sz w:val="6"/>
                <w:szCs w:val="6"/>
                <w:color w:val="auto"/>
              </w:rPr>
            </w:pPr>
          </w:p>
        </w:tc>
        <w:tc>
          <w:tcPr>
            <w:tcW w:w="560" w:type="dxa"/>
            <w:vAlign w:val="bottom"/>
            <w:vMerge w:val="restart"/>
          </w:tcPr>
          <w:p>
            <w:pPr>
              <w:jc w:val="right"/>
              <w:ind w:right="211"/>
              <w:spacing w:after="0"/>
              <w:rPr>
                <w:sz w:val="20"/>
                <w:szCs w:val="20"/>
                <w:color w:val="auto"/>
              </w:rPr>
            </w:pPr>
            <w:r>
              <w:rPr>
                <w:rFonts w:ascii="Times New Roman" w:cs="Times New Roman" w:eastAsia="Times New Roman" w:hAnsi="Times New Roman"/>
                <w:sz w:val="10"/>
                <w:szCs w:val="10"/>
                <w:color w:val="008000"/>
              </w:rPr>
              <w:t>(2)</w:t>
            </w:r>
          </w:p>
        </w:tc>
        <w:tc>
          <w:tcPr>
            <w:tcW w:w="1460" w:type="dxa"/>
            <w:vAlign w:val="bottom"/>
            <w:vMerge w:val="restart"/>
          </w:tcPr>
          <w:p>
            <w:pPr>
              <w:jc w:val="right"/>
              <w:ind w:right="622"/>
              <w:spacing w:after="0"/>
              <w:rPr>
                <w:sz w:val="20"/>
                <w:szCs w:val="20"/>
                <w:color w:val="auto"/>
              </w:rPr>
            </w:pPr>
            <w:r>
              <w:rPr>
                <w:rFonts w:ascii="Times New Roman" w:cs="Times New Roman" w:eastAsia="Times New Roman" w:hAnsi="Times New Roman"/>
                <w:sz w:val="12"/>
                <w:szCs w:val="12"/>
                <w:color w:val="0000FF"/>
              </w:rPr>
              <w:t>07/01/2026</w:t>
            </w: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12"/>
                <w:szCs w:val="12"/>
                <w:color w:val="0000FF"/>
              </w:rPr>
              <w:t>A</w:t>
            </w:r>
          </w:p>
        </w:tc>
        <w:tc>
          <w:tcPr>
            <w:tcW w:w="1680" w:type="dxa"/>
            <w:vAlign w:val="bottom"/>
            <w:vMerge w:val="continue"/>
          </w:tcPr>
          <w:p>
            <w:pPr>
              <w:spacing w:after="0"/>
              <w:rPr>
                <w:sz w:val="6"/>
                <w:szCs w:val="6"/>
                <w:color w:val="auto"/>
              </w:rPr>
            </w:pPr>
          </w:p>
        </w:tc>
        <w:tc>
          <w:tcPr>
            <w:tcW w:w="58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jc w:val="right"/>
              <w:ind w:right="111"/>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Common</w:t>
            </w:r>
          </w:p>
        </w:tc>
        <w:tc>
          <w:tcPr>
            <w:tcW w:w="940" w:type="dxa"/>
            <w:vAlign w:val="bottom"/>
            <w:vMerge w:val="continue"/>
          </w:tcPr>
          <w:p>
            <w:pPr>
              <w:spacing w:after="0"/>
              <w:rPr>
                <w:sz w:val="6"/>
                <w:szCs w:val="6"/>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23.8603</w:t>
            </w:r>
          </w:p>
        </w:tc>
        <w:tc>
          <w:tcPr>
            <w:tcW w:w="1040" w:type="dxa"/>
            <w:vAlign w:val="bottom"/>
            <w:vMerge w:val="continue"/>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I</w:t>
            </w: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Square</w:t>
            </w:r>
          </w:p>
        </w:tc>
        <w:tc>
          <w:tcPr>
            <w:tcW w:w="0" w:type="dxa"/>
            <w:vAlign w:val="bottom"/>
          </w:tcPr>
          <w:p>
            <w:pPr>
              <w:spacing w:after="0"/>
              <w:rPr>
                <w:sz w:val="1"/>
                <w:szCs w:val="1"/>
                <w:color w:val="auto"/>
              </w:rPr>
            </w:pPr>
          </w:p>
        </w:tc>
      </w:tr>
      <w:tr>
        <w:trPr>
          <w:trHeight w:val="69"/>
        </w:trPr>
        <w:tc>
          <w:tcPr>
            <w:tcW w:w="74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7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jc w:val="center"/>
              <w:ind w:left="42"/>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vMerge w:val="restart"/>
          </w:tcPr>
          <w:p>
            <w:pPr>
              <w:ind w:left="180"/>
              <w:spacing w:after="0" w:line="117" w:lineRule="exact"/>
              <w:rPr>
                <w:sz w:val="20"/>
                <w:szCs w:val="20"/>
                <w:color w:val="auto"/>
              </w:rPr>
            </w:pPr>
            <w:r>
              <w:rPr>
                <w:rFonts w:ascii="Times New Roman" w:cs="Times New Roman" w:eastAsia="Times New Roman" w:hAnsi="Times New Roman"/>
                <w:sz w:val="12"/>
                <w:szCs w:val="12"/>
                <w:color w:val="0000FF"/>
              </w:rPr>
              <w:t>Holdings,</w:t>
            </w:r>
          </w:p>
        </w:tc>
        <w:tc>
          <w:tcPr>
            <w:tcW w:w="0" w:type="dxa"/>
            <w:vAlign w:val="bottom"/>
          </w:tcPr>
          <w:p>
            <w:pPr>
              <w:spacing w:after="0"/>
              <w:rPr>
                <w:sz w:val="1"/>
                <w:szCs w:val="1"/>
                <w:color w:val="auto"/>
              </w:rPr>
            </w:pPr>
          </w:p>
        </w:tc>
      </w:tr>
      <w:tr>
        <w:trPr>
          <w:trHeight w:val="58"/>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7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9" w:lineRule="exact"/>
        <w:rPr>
          <w:sz w:val="24"/>
          <w:szCs w:val="24"/>
          <w:color w:val="auto"/>
        </w:rPr>
      </w:pPr>
    </w:p>
    <w:p>
      <w:pPr>
        <w:ind w:left="20" w:right="160" w:firstLine="8"/>
        <w:spacing w:after="0" w:line="235"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any shares held by Franklin Square Holdings, L.P., FS Real Estate Advisor, LLC and FSH Seed Capital Vehicle I LLC, a wholly owned subsidiary of Franklin Square Holdings, L.P., that exceed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2"/>
          <w:szCs w:val="12"/>
          <w:color w:val="008000"/>
        </w:rPr>
      </w:pPr>
    </w:p>
    <w:p>
      <w:pPr>
        <w:ind w:left="20" w:right="160" w:firstLine="8"/>
        <w:spacing w:after="0" w:line="235"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Advisory Agreement between the Company and the Adviser, the Company shall pay the Adviser an administrative services fee equal to 1.0% of the Company's net asset value per annum, payable quarterly, in Class I Restricted Stock Units, subject to the terms and conditions set forth in the Class I Restricted Stock Unit Agreement (as amended) between the Company and the Adviser. The administrative services fee is split 50/50 between the Adviser and Rialto Capital Management LLC.</w:t>
      </w:r>
    </w:p>
    <w:p>
      <w:pPr>
        <w:spacing w:after="0" w:line="25" w:lineRule="exact"/>
        <w:rPr>
          <w:rFonts w:ascii="Times New Roman" w:cs="Times New Roman" w:eastAsia="Times New Roman" w:hAnsi="Times New Roman"/>
          <w:sz w:val="12"/>
          <w:szCs w:val="12"/>
          <w:color w:val="008000"/>
        </w:rPr>
      </w:pPr>
    </w:p>
    <w:p>
      <w:pPr>
        <w:ind w:left="20" w:right="160" w:firstLine="8"/>
        <w:spacing w:after="0" w:line="243"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Class I Restricted Stock Unit Agreement (as amended) between the Company, the Adviser and Rialto Capital Management, LLC, Class I Restricted Stock Units shall be exchanged for Class I Common Stock, subject to time based vesting.</w:t>
      </w:r>
    </w:p>
    <w:p>
      <w:pPr>
        <w:sectPr>
          <w:pgSz w:w="11900" w:h="16838" w:orient="portrait"/>
          <w:cols w:equalWidth="0" w:num="1">
            <w:col w:w="11080"/>
          </w:cols>
          <w:pgMar w:left="460" w:top="210" w:right="359" w:bottom="0" w:gutter="0" w:footer="0" w:header="0"/>
          <w:type w:val="continuous"/>
        </w:sectPr>
      </w:pPr>
    </w:p>
    <w:bookmarkStart w:id="1" w:name="page2"/>
    <w:bookmarkEnd w:id="1"/>
    <w:p>
      <w:pPr>
        <w:ind w:firstLine="8"/>
        <w:spacing w:after="0" w:line="243" w:lineRule="auto"/>
        <w:tabs>
          <w:tab w:leader="none" w:pos="11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restricted stock units reported is an estimate based on the most recently available net asset value. The actual number of restricted stock units awarded will be determined upon calculation of the applicable grant date net asset value and may differ from the amount reported herein. Accordingly, the number of derivative securities beneficially owned following the reported transaction is also an estimate.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72"/>
        </w:trPr>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w w:val="99"/>
              </w:rPr>
              <w:t>/s/ Michael C. Forman</w:t>
            </w:r>
          </w:p>
        </w:tc>
        <w:tc>
          <w:tcPr>
            <w:tcW w:w="580" w:type="dxa"/>
            <w:vAlign w:val="bottom"/>
          </w:tcPr>
          <w:p>
            <w:pPr>
              <w:spacing w:after="0"/>
              <w:rPr>
                <w:sz w:val="15"/>
                <w:szCs w:val="15"/>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0000FF"/>
                <w:w w:val="96"/>
              </w:rPr>
              <w:t>07/02/2026</w:t>
            </w:r>
          </w:p>
        </w:tc>
      </w:tr>
      <w:tr>
        <w:trPr>
          <w:trHeight w:val="20"/>
        </w:trPr>
        <w:tc>
          <w:tcPr>
            <w:tcW w:w="1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7" w:lineRule="exact"/>
        <w:rPr>
          <w:sz w:val="20"/>
          <w:szCs w:val="20"/>
          <w:color w:val="auto"/>
        </w:rPr>
      </w:pPr>
    </w:p>
    <w:p>
      <w:pPr>
        <w:jc w:val="both"/>
        <w:ind w:right="4060" w:firstLine="8"/>
        <w:spacing w:after="0" w:line="362" w:lineRule="auto"/>
        <w:tabs>
          <w:tab w:leader="none" w:pos="123"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rPr>
          <w:rFonts w:ascii="Arial" w:cs="Arial" w:eastAsia="Arial" w:hAnsi="Arial"/>
          <w:sz w:val="10"/>
          <w:szCs w:val="1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2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8253" TargetMode="External"/><Relationship Id="rId14" Type="http://schemas.openxmlformats.org/officeDocument/2006/relationships/hyperlink" Target="http://www.sec.gov/cgi-bin/browse-edgar?action=getcompany&amp;CIK=0001690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2026-07-02T14:27:37Z</dcterms:created>
  <dcterms:modified xsi:type="dcterms:W3CDTF">2026-07-02T14:27:37Z</dcterms:modified>
</cp:coreProperties>
</file>