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878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87895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KRASNOFF JEFFREY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360"/>
        <w:spacing w:after="0" w:line="280" w:lineRule="auto"/>
        <w:rPr>
          <w:sz w:val="20"/>
          <w:szCs w:val="20"/>
          <w:color w:val="auto"/>
        </w:rPr>
      </w:pPr>
      <w:r>
        <w:rPr>
          <w:rFonts w:ascii="Times New Roman" w:cs="Times New Roman" w:eastAsia="Times New Roman" w:hAnsi="Times New Roman"/>
          <w:sz w:val="17"/>
          <w:szCs w:val="17"/>
          <w:color w:val="0000FF"/>
        </w:rPr>
        <w:t>FS CREDIT REAL ESTATE INCOME TRUST, INC.</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3025 JFK BOULEVARD, OFC 500</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66"/>
              <w:spacing w:after="0"/>
              <w:rPr>
                <w:sz w:val="20"/>
                <w:szCs w:val="20"/>
                <w:color w:val="auto"/>
              </w:rPr>
            </w:pPr>
            <w:r>
              <w:rPr>
                <w:rFonts w:ascii="Times New Roman" w:cs="Times New Roman" w:eastAsia="Times New Roman" w:hAnsi="Times New Roman"/>
                <w:sz w:val="17"/>
                <w:szCs w:val="17"/>
                <w:color w:val="0000FF"/>
              </w:rPr>
              <w:t>19112</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FS Credit Real Estate Income Trust,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NONE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820" w:type="dxa"/>
            <w:vAlign w:val="bottom"/>
            <w:gridSpan w:val="4"/>
            <w:vMerge w:val="continue"/>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2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04/30/2026</w:t>
            </w:r>
          </w:p>
        </w:tc>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2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33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97"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340" w:type="dxa"/>
            <w:vAlign w:val="bottom"/>
            <w:gridSpan w:val="3"/>
          </w:tcPr>
          <w:p>
            <w:pPr>
              <w:ind w:left="26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0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w w:val="92"/>
              </w:rPr>
              <w:t>5. Amount of</w:t>
            </w:r>
          </w:p>
        </w:tc>
        <w:tc>
          <w:tcPr>
            <w:tcW w:w="130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1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gridSpan w:val="2"/>
          </w:tcPr>
          <w:p>
            <w:pPr>
              <w:ind w:left="360"/>
              <w:spacing w:after="0" w:line="128"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6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300" w:type="dxa"/>
            <w:vAlign w:val="bottom"/>
            <w:gridSpan w:val="2"/>
          </w:tcPr>
          <w:p>
            <w:pPr>
              <w:ind w:left="440"/>
              <w:spacing w:after="0" w:line="128"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40" w:type="dxa"/>
            <w:vAlign w:val="bottom"/>
            <w:gridSpan w:val="3"/>
          </w:tcPr>
          <w:p>
            <w:pPr>
              <w:ind w:left="360"/>
              <w:spacing w:after="0" w:line="129"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2"/>
          </w:tcPr>
          <w:p>
            <w:pPr>
              <w:ind w:left="440"/>
              <w:spacing w:after="0" w:line="129" w:lineRule="exact"/>
              <w:rPr>
                <w:sz w:val="20"/>
                <w:szCs w:val="20"/>
                <w:color w:val="auto"/>
              </w:rPr>
            </w:pPr>
            <w:r>
              <w:rPr>
                <w:rFonts w:ascii="Arial" w:cs="Arial" w:eastAsia="Arial" w:hAnsi="Arial"/>
                <w:sz w:val="12"/>
                <w:szCs w:val="12"/>
                <w:b w:val="1"/>
                <w:bCs w:val="1"/>
                <w:color w:val="auto"/>
              </w:rPr>
              <w:t>(D) or Indirect</w:t>
            </w:r>
          </w:p>
        </w:tc>
        <w:tc>
          <w:tcPr>
            <w:tcW w:w="11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74"/>
              </w:rPr>
              <w:t>8)</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1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60" w:type="dxa"/>
            <w:vAlign w:val="bottom"/>
            <w:gridSpan w:val="4"/>
            <w:vMerge w:val="restart"/>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Rialto</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I Common Stock</w:t>
            </w:r>
          </w:p>
        </w:tc>
        <w:tc>
          <w:tcPr>
            <w:tcW w:w="19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04/30/2026</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vMerge w:val="restart"/>
          </w:tcPr>
          <w:p>
            <w:pPr>
              <w:jc w:val="center"/>
              <w:ind w:right="35"/>
              <w:spacing w:after="0"/>
              <w:rPr>
                <w:sz w:val="20"/>
                <w:szCs w:val="20"/>
                <w:color w:val="auto"/>
              </w:rPr>
            </w:pPr>
            <w:r>
              <w:rPr>
                <w:rFonts w:ascii="Times New Roman" w:cs="Times New Roman" w:eastAsia="Times New Roman" w:hAnsi="Times New Roman"/>
                <w:sz w:val="17"/>
                <w:szCs w:val="17"/>
                <w:color w:val="0000FF"/>
              </w:rPr>
              <w:t>158,728</w:t>
            </w:r>
            <w:r>
              <w:rPr>
                <w:rFonts w:ascii="Times New Roman" w:cs="Times New Roman" w:eastAsia="Times New Roman" w:hAnsi="Times New Roman"/>
                <w:sz w:val="21"/>
                <w:szCs w:val="21"/>
                <w:color w:val="008000"/>
                <w:vertAlign w:val="superscript"/>
              </w:rPr>
              <w:t>(1)</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vMerge w:val="restart"/>
          </w:tcPr>
          <w:p>
            <w:pPr>
              <w:jc w:val="center"/>
              <w:ind w:right="3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23.881</w:t>
            </w:r>
          </w:p>
        </w:tc>
        <w:tc>
          <w:tcPr>
            <w:tcW w:w="1560" w:type="dxa"/>
            <w:vAlign w:val="bottom"/>
            <w:gridSpan w:val="2"/>
            <w:vMerge w:val="restart"/>
          </w:tcPr>
          <w:p>
            <w:pPr>
              <w:jc w:val="center"/>
              <w:ind w:right="381"/>
              <w:spacing w:after="0"/>
              <w:rPr>
                <w:sz w:val="20"/>
                <w:szCs w:val="20"/>
                <w:color w:val="auto"/>
              </w:rPr>
            </w:pPr>
            <w:r>
              <w:rPr>
                <w:rFonts w:ascii="Times New Roman" w:cs="Times New Roman" w:eastAsia="Times New Roman" w:hAnsi="Times New Roman"/>
                <w:sz w:val="17"/>
                <w:szCs w:val="17"/>
                <w:color w:val="0000FF"/>
                <w:w w:val="98"/>
              </w:rPr>
              <w:t>385,686.626</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40"/>
              <w:spacing w:after="0" w:line="271"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Rialto</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I Common Stock</w:t>
            </w:r>
          </w:p>
        </w:tc>
        <w:tc>
          <w:tcPr>
            <w:tcW w:w="19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05/29/2026</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0000FF"/>
              </w:rPr>
              <w:t>158,728</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23.8737</w:t>
            </w:r>
          </w:p>
        </w:tc>
        <w:tc>
          <w:tcPr>
            <w:tcW w:w="1560" w:type="dxa"/>
            <w:vAlign w:val="bottom"/>
            <w:gridSpan w:val="2"/>
            <w:vMerge w:val="restart"/>
          </w:tcPr>
          <w:p>
            <w:pPr>
              <w:jc w:val="center"/>
              <w:ind w:right="381"/>
              <w:spacing w:after="0"/>
              <w:rPr>
                <w:sz w:val="20"/>
                <w:szCs w:val="20"/>
                <w:color w:val="auto"/>
              </w:rPr>
            </w:pPr>
            <w:r>
              <w:rPr>
                <w:rFonts w:ascii="Times New Roman" w:cs="Times New Roman" w:eastAsia="Times New Roman" w:hAnsi="Times New Roman"/>
                <w:sz w:val="17"/>
                <w:szCs w:val="17"/>
                <w:color w:val="0000FF"/>
                <w:w w:val="98"/>
              </w:rPr>
              <w:t>226,958.626</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I Common Stock</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60" w:type="dxa"/>
            <w:vAlign w:val="bottom"/>
            <w:gridSpan w:val="2"/>
            <w:vMerge w:val="restart"/>
          </w:tcPr>
          <w:p>
            <w:pPr>
              <w:jc w:val="center"/>
              <w:ind w:right="381"/>
              <w:spacing w:after="0"/>
              <w:rPr>
                <w:sz w:val="20"/>
                <w:szCs w:val="20"/>
                <w:color w:val="auto"/>
              </w:rPr>
            </w:pPr>
            <w:r>
              <w:rPr>
                <w:rFonts w:ascii="Times New Roman" w:cs="Times New Roman" w:eastAsia="Times New Roman" w:hAnsi="Times New Roman"/>
                <w:sz w:val="17"/>
                <w:szCs w:val="17"/>
                <w:color w:val="0000FF"/>
                <w:w w:val="94"/>
              </w:rPr>
              <w:t>23,131.99</w:t>
            </w:r>
            <w:r>
              <w:rPr>
                <w:rFonts w:ascii="Times New Roman" w:cs="Times New Roman" w:eastAsia="Times New Roman" w:hAnsi="Times New Roman"/>
                <w:sz w:val="21"/>
                <w:szCs w:val="21"/>
                <w:color w:val="008000"/>
                <w:w w:val="94"/>
                <w:vertAlign w:val="superscript"/>
              </w:rPr>
              <w:t>(3)</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JTK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RCM, LLC</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F Common Stock</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60" w:type="dxa"/>
            <w:vAlign w:val="bottom"/>
            <w:gridSpan w:val="2"/>
            <w:vMerge w:val="restart"/>
          </w:tcPr>
          <w:p>
            <w:pPr>
              <w:jc w:val="center"/>
              <w:ind w:right="381"/>
              <w:spacing w:after="0"/>
              <w:rPr>
                <w:sz w:val="20"/>
                <w:szCs w:val="20"/>
                <w:color w:val="auto"/>
              </w:rPr>
            </w:pPr>
            <w:r>
              <w:rPr>
                <w:rFonts w:ascii="Times New Roman" w:cs="Times New Roman" w:eastAsia="Times New Roman" w:hAnsi="Times New Roman"/>
                <w:sz w:val="17"/>
                <w:szCs w:val="17"/>
                <w:color w:val="0000FF"/>
                <w:w w:val="94"/>
              </w:rPr>
              <w:t>38,882.317</w:t>
            </w:r>
            <w:r>
              <w:rPr>
                <w:rFonts w:ascii="Times New Roman" w:cs="Times New Roman" w:eastAsia="Times New Roman" w:hAnsi="Times New Roman"/>
                <w:sz w:val="21"/>
                <w:szCs w:val="21"/>
                <w:color w:val="008000"/>
                <w:w w:val="94"/>
                <w:vertAlign w:val="superscript"/>
              </w:rPr>
              <w:t>(3)</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JTK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RCM, LLC</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00" w:type="dxa"/>
            <w:vAlign w:val="bottom"/>
            <w:gridSpan w:val="12"/>
          </w:tcPr>
          <w:p>
            <w:pPr>
              <w:jc w:val="cente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40" w:type="dxa"/>
            <w:vAlign w:val="bottom"/>
            <w:gridSpan w:val="11"/>
          </w:tcPr>
          <w:p>
            <w:pPr>
              <w:jc w:val="center"/>
              <w:ind w:left="63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8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9"/>
              </w:rPr>
              <w:t>Form:</w:t>
            </w:r>
          </w:p>
        </w:tc>
        <w:tc>
          <w:tcPr>
            <w:tcW w:w="300" w:type="dxa"/>
            <w:vAlign w:val="bottom"/>
          </w:tcPr>
          <w:p>
            <w:pPr>
              <w:spacing w:after="0"/>
              <w:rPr>
                <w:sz w:val="11"/>
                <w:szCs w:val="11"/>
                <w:color w:val="auto"/>
              </w:rPr>
            </w:pPr>
          </w:p>
        </w:tc>
        <w:tc>
          <w:tcPr>
            <w:tcW w:w="8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2"/>
              </w:rPr>
              <w:t>Acquired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jc w:val="center"/>
              <w:ind w:left="135"/>
              <w:spacing w:after="0" w:line="129"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I</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Class I</w:t>
            </w: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3"/>
                <w:szCs w:val="13"/>
                <w:color w:val="0000FF"/>
              </w:rPr>
              <w:t>By: Rialto</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jc w:val="center"/>
              <w:ind w:left="141"/>
              <w:spacing w:after="0"/>
              <w:rPr>
                <w:sz w:val="20"/>
                <w:szCs w:val="20"/>
                <w:color w:val="auto"/>
              </w:rPr>
            </w:pPr>
            <w:r>
              <w:rPr>
                <w:rFonts w:ascii="Times New Roman" w:cs="Times New Roman" w:eastAsia="Times New Roman" w:hAnsi="Times New Roman"/>
                <w:sz w:val="11"/>
                <w:szCs w:val="11"/>
                <w:color w:val="008000"/>
                <w:w w:val="93"/>
              </w:rPr>
              <w:t>(6)</w:t>
            </w:r>
          </w:p>
        </w:tc>
        <w:tc>
          <w:tcPr>
            <w:tcW w:w="880" w:type="dxa"/>
            <w:vAlign w:val="bottom"/>
            <w:vMerge w:val="restart"/>
          </w:tcPr>
          <w:p>
            <w:pPr>
              <w:jc w:val="right"/>
              <w:ind w:right="195"/>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gridSpan w:val="2"/>
            <w:vMerge w:val="continue"/>
          </w:tcPr>
          <w:p>
            <w:pPr>
              <w:spacing w:after="0"/>
              <w:rPr>
                <w:sz w:val="6"/>
                <w:szCs w:val="6"/>
                <w:color w:val="auto"/>
              </w:rPr>
            </w:pP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0</w:t>
            </w: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Borders>
              <w:right w:val="single" w:sz="8" w:color="2C2C2C"/>
            </w:tcBorders>
            <w:gridSpan w:val="3"/>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gridSpan w:val="2"/>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w w:val="98"/>
              </w:rPr>
              <w:t>1,958,381.696</w:t>
            </w:r>
          </w:p>
        </w:tc>
        <w:tc>
          <w:tcPr>
            <w:tcW w:w="500" w:type="dxa"/>
            <w:vAlign w:val="bottom"/>
            <w:vMerge w:val="restart"/>
          </w:tcPr>
          <w:p>
            <w:pPr>
              <w:ind w:left="42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5"/>
                <w:szCs w:val="5"/>
                <w:color w:val="auto"/>
              </w:rPr>
            </w:pPr>
          </w:p>
        </w:tc>
        <w:tc>
          <w:tcPr>
            <w:tcW w:w="8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Borders>
              <w:right w:val="single" w:sz="8" w:color="2C2C2C"/>
            </w:tcBorders>
            <w:gridSpan w:val="3"/>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Management,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right w:val="single" w:sz="8" w:color="2C2C2C"/>
            </w:tcBorders>
            <w:gridSpan w:val="3"/>
            <w:vMerge w:val="restart"/>
          </w:tcPr>
          <w:p>
            <w:pPr>
              <w:ind w:left="80"/>
              <w:spacing w:after="0" w:line="237" w:lineRule="exact"/>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-2200910</wp:posOffset>
            </wp:positionV>
            <wp:extent cx="29210" cy="2205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59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inadvertently omitted from a previously required Section 16 filing. Upon discovery of the omission, the Reporting Person is reporting the transaction on this Form 4 to correct the prior filing deficiency.</w:t>
      </w:r>
    </w:p>
    <w:p>
      <w:pPr>
        <w:spacing w:after="0" w:line="16"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any shares held by Rialto Capital Management, LLC that exceed his pecuniary interest therein, and the inclusion of these shares in this report shall not be deemed an admission of beneficial ownership of all of the reported shares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received on account of reinvested distributions.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JTK RCM, LLC is jointly owned by reporting person and his spouse.</w:t>
      </w:r>
    </w:p>
    <w:p>
      <w:pPr>
        <w:spacing w:after="0" w:line="44"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Advisory Agreement between the Company and the Adviser, the Company shall pay the Adviser an administrative services fee equal to 1.0% of the Company's net asset value per annum, payable quarterly, in Class I Restricted Stock Units, subject to the terms and conditions set forth in the Class I Restricted Stock Unit Agreement (as amended) between the Company and the Adviser. The administrative services fee is split 50/50 between the Adviser and Rialto Capital Management LLC.</w:t>
      </w:r>
    </w:p>
    <w:p>
      <w:pPr>
        <w:spacing w:after="0" w:line="25"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Class I Restricted Stock Unit Agreement (as amended) between the Company, the Adviser and Rialto Capital Management, LLC, Class I Restricted Stock Units shall be exchanged for Class I Common, subject to time based vesting.</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Jeffrey Krasnoff</w:t>
            </w:r>
          </w:p>
        </w:tc>
        <w:tc>
          <w:tcPr>
            <w:tcW w:w="9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06/01/2026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49461" TargetMode="External"/><Relationship Id="rId14" Type="http://schemas.openxmlformats.org/officeDocument/2006/relationships/hyperlink" Target="http://www.sec.gov/cgi-bin/browse-edgar?action=getcompany&amp;CIK=0001690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2026-06-01T09:27:11Z</dcterms:created>
  <dcterms:modified xsi:type="dcterms:W3CDTF">2026-06-01T09:27:11Z</dcterms:modified>
</cp:coreProperties>
</file>