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226-1_4aseq1.xml.htm"/>
      <w:bookmarkStart w:id="1" w:name="kstm26242261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Forman Michael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FS CREDIT REAL ESTATE INCOME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3025 JFK BOULEVARD, OFC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FS Credit Real Estate Income Trust, Inc.</w:t>
              </w:r>
            </w:hyperlink>
            <w:r>
              <w:rPr/>
              <w:t xml:space="preserve"> [ </w:t>
            </w:r>
            <w:r>
              <w:rPr>
                <w:rFonts w:ascii="Times;serif" w:hAnsi="Times;serif"/>
                <w:color w:val="0000FF"/>
                <w:sz w:val="24"/>
                <w:shd w:fill="FFFFFF" w:val="clear"/>
              </w:rPr>
              <w:t>NONE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9"/>
        <w:gridCol w:w="899"/>
        <w:gridCol w:w="773"/>
        <w:gridCol w:w="597"/>
        <w:gridCol w:w="327"/>
        <w:gridCol w:w="1126"/>
        <w:gridCol w:w="396"/>
        <w:gridCol w:w="824"/>
        <w:gridCol w:w="1454"/>
        <w:gridCol w:w="925"/>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I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71,346.63</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23.806</w:t>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139,577.184</w:t>
            </w:r>
            <w:r>
              <w:rPr>
                <w:rFonts w:ascii="Times;serif" w:hAnsi="Times;serif"/>
                <w:color w:val="008000"/>
                <w:position w:val="7"/>
                <w:sz w:val="16"/>
                <w:sz w:val="20"/>
                <w:shd w:fill="FFFFFF" w:val="clear"/>
              </w:rPr>
              <w:t>(5)</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Franklin Square Holdings, L.P.</w:t>
            </w:r>
            <w:r>
              <w:rPr>
                <w:rFonts w:ascii="Times;serif" w:hAnsi="Times;serif"/>
                <w:color w:val="008000"/>
                <w:position w:val="7"/>
                <w:sz w:val="16"/>
                <w:sz w:val="20"/>
                <w:shd w:fill="FFFFFF" w:val="clear"/>
              </w:rPr>
              <w:t>(1)</w:t>
            </w:r>
          </w:p>
        </w:tc>
      </w:tr>
      <w:tr>
        <w:trPr/>
        <w:tc>
          <w:tcPr>
            <w:tcW w:w="17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T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2,506.828</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FSH Seed Capital Vehicle I LLC</w:t>
            </w:r>
            <w:r>
              <w:rPr>
                <w:rFonts w:ascii="Times;serif" w:hAnsi="Times;serif"/>
                <w:color w:val="008000"/>
                <w:position w:val="7"/>
                <w:sz w:val="16"/>
                <w:sz w:val="20"/>
                <w:shd w:fill="FFFFFF" w:val="clear"/>
              </w:rPr>
              <w:t>(1)</w:t>
            </w:r>
          </w:p>
        </w:tc>
      </w:tr>
      <w:tr>
        <w:trPr/>
        <w:tc>
          <w:tcPr>
            <w:tcW w:w="17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M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413.861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FSH Seed Capital Vehicle I LLC</w:t>
            </w:r>
            <w:r>
              <w:rPr>
                <w:rFonts w:ascii="Times;serif" w:hAnsi="Times;serif"/>
                <w:color w:val="008000"/>
                <w:position w:val="7"/>
                <w:sz w:val="16"/>
                <w:sz w:val="20"/>
                <w:shd w:fill="FFFFFF" w:val="clear"/>
              </w:rPr>
              <w:t>(1)</w:t>
            </w:r>
          </w:p>
        </w:tc>
      </w:tr>
      <w:tr>
        <w:trPr/>
        <w:tc>
          <w:tcPr>
            <w:tcW w:w="17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S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412.313</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FSH Seed Capital Vehicle I LLC</w:t>
            </w:r>
            <w:r>
              <w:rPr>
                <w:rFonts w:ascii="Times;serif" w:hAnsi="Times;serif"/>
                <w:color w:val="008000"/>
                <w:position w:val="7"/>
                <w:sz w:val="16"/>
                <w:sz w:val="20"/>
                <w:shd w:fill="FFFFFF" w:val="clear"/>
              </w:rPr>
              <w:t>(1)</w:t>
            </w:r>
          </w:p>
        </w:tc>
      </w:tr>
    </w:tbl>
    <w:tbl>
      <w:tblPr>
        <w:tblW w:w="143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1131"/>
        <w:gridCol w:w="966"/>
        <w:gridCol w:w="906"/>
        <w:gridCol w:w="801"/>
        <w:gridCol w:w="891"/>
        <w:gridCol w:w="1281"/>
        <w:gridCol w:w="816"/>
        <w:gridCol w:w="1386"/>
        <w:gridCol w:w="831"/>
        <w:gridCol w:w="951"/>
      </w:tblGrid>
      <w:tr>
        <w:trPr>
          <w:tblHeader w:val="true"/>
        </w:trPr>
        <w:tc>
          <w:tcPr>
            <w:tcW w:w="143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0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3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I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71,346.63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I Common Stock</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71,346.63</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23.8603</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1,673,354.668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Franklin Square Holdings, L.P.</w:t>
            </w:r>
            <w:r>
              <w:rPr>
                <w:rFonts w:ascii="Times;serif" w:hAnsi="Times;serif"/>
                <w:color w:val="008000"/>
                <w:position w:val="7"/>
                <w:sz w:val="16"/>
                <w:sz w:val="20"/>
                <w:shd w:fill="FFFFFF" w:val="clear"/>
              </w:rPr>
              <w:t>(1)</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I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157,164.83</w:t>
            </w:r>
            <w:r>
              <w:rPr>
                <w:rFonts w:ascii="Times;serif" w:hAnsi="Times;serif"/>
                <w:color w:val="008000"/>
                <w:position w:val="7"/>
                <w:sz w:val="16"/>
                <w:sz w:val="20"/>
                <w:shd w:fill="FFFFFF" w:val="clear"/>
              </w:rPr>
              <w:t>(4)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I Common Stock</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157,164.83</w:t>
            </w:r>
            <w:r>
              <w:rPr>
                <w:rFonts w:ascii="Times;serif" w:hAnsi="Times;serif"/>
                <w:color w:val="008000"/>
                <w:position w:val="7"/>
                <w:sz w:val="16"/>
                <w:sz w:val="20"/>
                <w:shd w:fill="FFFFFF" w:val="clear"/>
              </w:rPr>
              <w:t>(4)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23.8603</w:t>
            </w:r>
          </w:p>
        </w:tc>
        <w:tc>
          <w:tcPr>
            <w:tcW w:w="13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1,830,519.498</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Franklin Square Holdings, L.P.</w:t>
            </w:r>
            <w:r>
              <w:rPr>
                <w:rFonts w:ascii="Times;serif" w:hAnsi="Times;serif"/>
                <w:color w:val="008000"/>
                <w:position w:val="7"/>
                <w:sz w:val="16"/>
                <w:sz w:val="20"/>
                <w:shd w:fill="FFFFFF" w:val="clear"/>
              </w:rPr>
              <w:t>(1)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any shares held by Franklin Square Holdings, L.P., FS Real Estate Advisor, LLC and FSH Seed Capital Vehicle I LLC, a wholly owned subsidiary of Franklin Square Holdings, L.P., that exceed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Advisory Agreement between the Company and the Adviser, the Company shall pay the Adviser an administrative services fee equal to 1.0% of the Company's net asset value per annum, payable quarterly, in Class I Restricted Stock Units, subject to the terms and conditions set forth in the Class I Restricted Stock Unit Agreement (as amended) between the Company and the Adviser. The administrative services fee is split 50/50 between the Adviser and Rialto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Class I Restricted Stock Unit Agreement (as amended) between the Company, the Adviser and Rialto Capital Management, LLC, Class I Restricted Stock Units shall be exchanged for Class I Common Stock, subject to time based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restricted stock units reported is an estimate based on the most recently available net asset value. The actual number of restricted stock units awarded will be determined upon calculation of the applicable grant date net asset value and may differ from the amount reported herein. Accordingly, the number of derivative securities beneficially owned following the reported transaction is also an estimate.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Amendment to the Form 4 originally filed on July 2, 2026 is being filed solely to correct the amount of Class I Common Stock reported in Column 5 of Table I as beneficially owned by the Reporting Person following the reported transaction. The amount reported in the original Form 4 inadvertently omitted 68,231.184 Class I shares that the Reporting Person already beneficially owned prior to the reported transaction. Accordingly, the corrected amount of Class I Common Stock beneficially owned by the Reporting Person following the reported transaction is 139,577.814 shares, consisting of the 71,346.63 shares reported in the original Form 4 plus the 68,231.184 previously owned shares that were omitted. This Amendment does not otherwise change any other information reported in the original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 Forman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8253" TargetMode="External"/><Relationship Id="rId5" Type="http://schemas.openxmlformats.org/officeDocument/2006/relationships/hyperlink" Target="http://www.sec.gov/cgi-bin/browse-edgar?action=getcompany&amp;CIK=000169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1059</Words>
  <Characters>5686</Characters>
  <CharactersWithSpaces>6634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